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79D" w:rsidRPr="00DF418F" w:rsidRDefault="00A857E6" w:rsidP="00AE679D">
      <w:pPr>
        <w:spacing w:line="240" w:lineRule="auto"/>
        <w:jc w:val="both"/>
        <w:rPr>
          <w:rFonts w:ascii="Times New Roman" w:hAnsi="Times New Roman" w:cs="Times New Roman"/>
          <w:b/>
          <w:sz w:val="24"/>
          <w:szCs w:val="24"/>
        </w:rPr>
      </w:pPr>
      <w:bookmarkStart w:id="0" w:name="_GoBack"/>
      <w:r>
        <w:rPr>
          <w:rFonts w:ascii="Times New Roman" w:hAnsi="Times New Roman" w:cs="Times New Roman"/>
          <w:b/>
          <w:sz w:val="24"/>
          <w:szCs w:val="24"/>
        </w:rPr>
        <w:t xml:space="preserve">Transitional </w:t>
      </w:r>
      <w:r w:rsidR="00E81770">
        <w:rPr>
          <w:rFonts w:ascii="Times New Roman" w:hAnsi="Times New Roman" w:cs="Times New Roman"/>
          <w:b/>
          <w:sz w:val="24"/>
          <w:szCs w:val="24"/>
        </w:rPr>
        <w:t xml:space="preserve">Constitutionalism and </w:t>
      </w:r>
      <w:r w:rsidR="00AE679D">
        <w:rPr>
          <w:rFonts w:ascii="Times New Roman" w:hAnsi="Times New Roman" w:cs="Times New Roman"/>
          <w:b/>
          <w:sz w:val="24"/>
          <w:szCs w:val="24"/>
        </w:rPr>
        <w:t xml:space="preserve">Minority Rights </w:t>
      </w:r>
      <w:r>
        <w:rPr>
          <w:rFonts w:ascii="Times New Roman" w:hAnsi="Times New Roman" w:cs="Times New Roman"/>
          <w:b/>
          <w:sz w:val="24"/>
          <w:szCs w:val="24"/>
        </w:rPr>
        <w:t xml:space="preserve">in </w:t>
      </w:r>
      <w:r w:rsidR="008B2AF5">
        <w:rPr>
          <w:rFonts w:ascii="Times New Roman" w:hAnsi="Times New Roman" w:cs="Times New Roman"/>
          <w:b/>
          <w:sz w:val="24"/>
          <w:szCs w:val="24"/>
        </w:rPr>
        <w:t>Kosovo</w:t>
      </w:r>
      <w:r w:rsidR="00AE679D">
        <w:rPr>
          <w:rFonts w:ascii="Times New Roman" w:hAnsi="Times New Roman" w:cs="Times New Roman"/>
          <w:b/>
          <w:sz w:val="24"/>
          <w:szCs w:val="24"/>
        </w:rPr>
        <w:t xml:space="preserve">: </w:t>
      </w:r>
      <w:r>
        <w:rPr>
          <w:rFonts w:ascii="Times New Roman" w:hAnsi="Times New Roman" w:cs="Times New Roman"/>
          <w:b/>
          <w:sz w:val="24"/>
          <w:szCs w:val="24"/>
        </w:rPr>
        <w:t>Making Sense of the</w:t>
      </w:r>
      <w:r w:rsidR="00AE679D">
        <w:rPr>
          <w:rFonts w:ascii="Times New Roman" w:hAnsi="Times New Roman" w:cs="Times New Roman"/>
          <w:b/>
          <w:sz w:val="24"/>
          <w:szCs w:val="24"/>
        </w:rPr>
        <w:t xml:space="preserve"> </w:t>
      </w:r>
      <w:r w:rsidR="00AE679D">
        <w:rPr>
          <w:rFonts w:ascii="Times New Roman" w:hAnsi="Times New Roman" w:cs="Times New Roman"/>
          <w:b/>
          <w:i/>
          <w:sz w:val="24"/>
          <w:szCs w:val="24"/>
        </w:rPr>
        <w:t xml:space="preserve">Association of Serbian Municipalities </w:t>
      </w:r>
      <w:r w:rsidR="00983119">
        <w:rPr>
          <w:rFonts w:ascii="Times New Roman" w:hAnsi="Times New Roman" w:cs="Times New Roman"/>
          <w:b/>
          <w:i/>
          <w:sz w:val="24"/>
          <w:szCs w:val="24"/>
        </w:rPr>
        <w:t>(John Cipperly, November 30, 2015)</w:t>
      </w:r>
    </w:p>
    <w:p w:rsidR="00D547AF" w:rsidRPr="00D547AF" w:rsidRDefault="00D547AF" w:rsidP="00D547AF">
      <w:pPr>
        <w:spacing w:line="240" w:lineRule="auto"/>
        <w:jc w:val="both"/>
        <w:rPr>
          <w:rFonts w:ascii="Times New Roman" w:hAnsi="Times New Roman" w:cs="Times New Roman"/>
          <w:b/>
          <w:sz w:val="24"/>
          <w:szCs w:val="24"/>
        </w:rPr>
      </w:pPr>
      <w:r w:rsidRPr="00D547AF">
        <w:rPr>
          <w:rFonts w:ascii="Times New Roman" w:hAnsi="Times New Roman" w:cs="Times New Roman"/>
          <w:b/>
          <w:sz w:val="24"/>
          <w:szCs w:val="24"/>
        </w:rPr>
        <w:t xml:space="preserve">Introduction </w:t>
      </w:r>
    </w:p>
    <w:p w:rsidR="00AE679D" w:rsidRDefault="00AE679D" w:rsidP="00D547A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Through an E.U.-brokered commission, the governments of Kosovo and Serbia are engaged in a series of negotiations to promote cooperation among the two neighbors. Notwithstanding their disagreement over Kosovo’s status, the </w:t>
      </w:r>
      <w:r w:rsidR="00890195">
        <w:rPr>
          <w:rFonts w:ascii="Times New Roman" w:hAnsi="Times New Roman" w:cs="Times New Roman"/>
          <w:sz w:val="24"/>
          <w:szCs w:val="24"/>
        </w:rPr>
        <w:t xml:space="preserve">start of the </w:t>
      </w:r>
      <w:r>
        <w:rPr>
          <w:rFonts w:ascii="Times New Roman" w:hAnsi="Times New Roman" w:cs="Times New Roman"/>
          <w:sz w:val="24"/>
          <w:szCs w:val="24"/>
        </w:rPr>
        <w:t>talks have been heralded by the international community as a</w:t>
      </w:r>
      <w:r w:rsidR="00890195">
        <w:rPr>
          <w:rFonts w:ascii="Times New Roman" w:hAnsi="Times New Roman" w:cs="Times New Roman"/>
          <w:sz w:val="24"/>
          <w:szCs w:val="24"/>
        </w:rPr>
        <w:t xml:space="preserve"> crucial</w:t>
      </w:r>
      <w:r>
        <w:rPr>
          <w:rFonts w:ascii="Times New Roman" w:hAnsi="Times New Roman" w:cs="Times New Roman"/>
          <w:sz w:val="24"/>
          <w:szCs w:val="24"/>
        </w:rPr>
        <w:t xml:space="preserve"> step on the long path towards normalization of relations. Serbia’s negotiating team is chiefly concerned </w:t>
      </w:r>
      <w:r w:rsidR="00890195">
        <w:rPr>
          <w:rFonts w:ascii="Times New Roman" w:hAnsi="Times New Roman" w:cs="Times New Roman"/>
          <w:sz w:val="24"/>
          <w:szCs w:val="24"/>
        </w:rPr>
        <w:t>for</w:t>
      </w:r>
      <w:r>
        <w:rPr>
          <w:rFonts w:ascii="Times New Roman" w:hAnsi="Times New Roman" w:cs="Times New Roman"/>
          <w:sz w:val="24"/>
          <w:szCs w:val="24"/>
        </w:rPr>
        <w:t xml:space="preserve"> the autonomy of the Kosovo-Serb majority municipalities in Kosovo, including the rights of municipalities to associate</w:t>
      </w:r>
      <w:r w:rsidR="00890195">
        <w:rPr>
          <w:rFonts w:ascii="Times New Roman" w:hAnsi="Times New Roman" w:cs="Times New Roman"/>
          <w:sz w:val="24"/>
          <w:szCs w:val="24"/>
        </w:rPr>
        <w:t>,</w:t>
      </w:r>
      <w:r>
        <w:rPr>
          <w:rFonts w:ascii="Times New Roman" w:hAnsi="Times New Roman" w:cs="Times New Roman"/>
          <w:sz w:val="24"/>
          <w:szCs w:val="24"/>
        </w:rPr>
        <w:t xml:space="preserve"> and to conduct cross-border cooperation with </w:t>
      </w:r>
      <w:r w:rsidR="007C7336">
        <w:rPr>
          <w:rFonts w:ascii="Times New Roman" w:hAnsi="Times New Roman" w:cs="Times New Roman"/>
          <w:sz w:val="24"/>
          <w:szCs w:val="24"/>
        </w:rPr>
        <w:t>Serbia</w:t>
      </w:r>
      <w:r>
        <w:rPr>
          <w:rFonts w:ascii="Times New Roman" w:hAnsi="Times New Roman" w:cs="Times New Roman"/>
          <w:sz w:val="24"/>
          <w:szCs w:val="24"/>
        </w:rPr>
        <w:t xml:space="preserve"> through a proposed </w:t>
      </w:r>
      <w:r w:rsidR="00890195">
        <w:rPr>
          <w:rFonts w:ascii="Times New Roman" w:hAnsi="Times New Roman" w:cs="Times New Roman"/>
          <w:i/>
          <w:sz w:val="24"/>
          <w:szCs w:val="24"/>
        </w:rPr>
        <w:t>Association of</w:t>
      </w:r>
      <w:r w:rsidRPr="002608D3">
        <w:rPr>
          <w:rFonts w:ascii="Times New Roman" w:hAnsi="Times New Roman" w:cs="Times New Roman"/>
          <w:i/>
          <w:sz w:val="24"/>
          <w:szCs w:val="24"/>
        </w:rPr>
        <w:t xml:space="preserve"> </w:t>
      </w:r>
      <w:r w:rsidR="00890195">
        <w:rPr>
          <w:rFonts w:ascii="Times New Roman" w:hAnsi="Times New Roman" w:cs="Times New Roman"/>
          <w:i/>
          <w:sz w:val="24"/>
          <w:szCs w:val="24"/>
        </w:rPr>
        <w:t xml:space="preserve">Serbian </w:t>
      </w:r>
      <w:r w:rsidRPr="002608D3">
        <w:rPr>
          <w:rFonts w:ascii="Times New Roman" w:hAnsi="Times New Roman" w:cs="Times New Roman"/>
          <w:i/>
          <w:sz w:val="24"/>
          <w:szCs w:val="24"/>
        </w:rPr>
        <w:t>Municipalities</w:t>
      </w:r>
      <w:r w:rsidR="00350532">
        <w:rPr>
          <w:rFonts w:ascii="Times New Roman" w:hAnsi="Times New Roman" w:cs="Times New Roman"/>
          <w:sz w:val="24"/>
          <w:szCs w:val="24"/>
        </w:rPr>
        <w:t>.</w:t>
      </w:r>
      <w:r w:rsidR="005F0084">
        <w:rPr>
          <w:rFonts w:ascii="Times New Roman" w:hAnsi="Times New Roman" w:cs="Times New Roman"/>
          <w:sz w:val="24"/>
          <w:szCs w:val="24"/>
        </w:rPr>
        <w:t xml:space="preserve"> However,</w:t>
      </w:r>
      <w:r w:rsidRPr="00890195">
        <w:rPr>
          <w:rFonts w:ascii="Times New Roman" w:hAnsi="Times New Roman" w:cs="Times New Roman"/>
          <w:sz w:val="24"/>
          <w:szCs w:val="24"/>
        </w:rPr>
        <w:t xml:space="preserve"> </w:t>
      </w:r>
      <w:r w:rsidR="005F0084">
        <w:rPr>
          <w:rFonts w:ascii="Times New Roman" w:hAnsi="Times New Roman" w:cs="Times New Roman"/>
          <w:sz w:val="24"/>
          <w:szCs w:val="24"/>
        </w:rPr>
        <w:t>t</w:t>
      </w:r>
      <w:r>
        <w:rPr>
          <w:rFonts w:ascii="Times New Roman" w:hAnsi="Times New Roman" w:cs="Times New Roman"/>
          <w:sz w:val="24"/>
          <w:szCs w:val="24"/>
        </w:rPr>
        <w:t xml:space="preserve">he proposed legislation that would </w:t>
      </w:r>
      <w:r w:rsidR="00890195">
        <w:rPr>
          <w:rFonts w:ascii="Times New Roman" w:hAnsi="Times New Roman" w:cs="Times New Roman"/>
          <w:sz w:val="24"/>
          <w:szCs w:val="24"/>
        </w:rPr>
        <w:t>lay the groundwork for</w:t>
      </w:r>
      <w:r>
        <w:rPr>
          <w:rFonts w:ascii="Times New Roman" w:hAnsi="Times New Roman" w:cs="Times New Roman"/>
          <w:sz w:val="24"/>
          <w:szCs w:val="24"/>
        </w:rPr>
        <w:t xml:space="preserve"> the </w:t>
      </w:r>
      <w:r w:rsidR="00890195">
        <w:rPr>
          <w:rFonts w:ascii="Times New Roman" w:hAnsi="Times New Roman" w:cs="Times New Roman"/>
          <w:sz w:val="24"/>
          <w:szCs w:val="24"/>
        </w:rPr>
        <w:t>Association</w:t>
      </w:r>
      <w:r w:rsidR="00890195">
        <w:rPr>
          <w:rFonts w:ascii="Times New Roman" w:hAnsi="Times New Roman" w:cs="Times New Roman"/>
          <w:i/>
          <w:sz w:val="24"/>
          <w:szCs w:val="24"/>
        </w:rPr>
        <w:t xml:space="preserve"> </w:t>
      </w:r>
      <w:r>
        <w:rPr>
          <w:rFonts w:ascii="Times New Roman" w:hAnsi="Times New Roman" w:cs="Times New Roman"/>
          <w:sz w:val="24"/>
          <w:szCs w:val="24"/>
        </w:rPr>
        <w:t>is hotly contested</w:t>
      </w:r>
      <w:r w:rsidR="007C7336">
        <w:rPr>
          <w:rFonts w:ascii="Times New Roman" w:hAnsi="Times New Roman" w:cs="Times New Roman"/>
          <w:sz w:val="24"/>
          <w:szCs w:val="24"/>
        </w:rPr>
        <w:t xml:space="preserve"> in Kosovo</w:t>
      </w:r>
      <w:r>
        <w:rPr>
          <w:rFonts w:ascii="Times New Roman" w:hAnsi="Times New Roman" w:cs="Times New Roman"/>
          <w:sz w:val="24"/>
          <w:szCs w:val="24"/>
        </w:rPr>
        <w:t xml:space="preserve">. Opposition groups fear that the </w:t>
      </w:r>
      <w:r w:rsidR="00890195">
        <w:rPr>
          <w:rFonts w:ascii="Times New Roman" w:hAnsi="Times New Roman" w:cs="Times New Roman"/>
          <w:sz w:val="24"/>
          <w:szCs w:val="24"/>
        </w:rPr>
        <w:t xml:space="preserve">Association </w:t>
      </w:r>
      <w:r>
        <w:rPr>
          <w:rFonts w:ascii="Times New Roman" w:hAnsi="Times New Roman" w:cs="Times New Roman"/>
          <w:sz w:val="24"/>
          <w:szCs w:val="24"/>
        </w:rPr>
        <w:t>will result in fragmentation and the loss of sovereignty over state territory</w:t>
      </w:r>
      <w:r w:rsidR="00890195">
        <w:rPr>
          <w:rFonts w:ascii="Times New Roman" w:hAnsi="Times New Roman" w:cs="Times New Roman"/>
          <w:sz w:val="24"/>
          <w:szCs w:val="24"/>
        </w:rPr>
        <w:t xml:space="preserve">. </w:t>
      </w:r>
      <w:r>
        <w:rPr>
          <w:rFonts w:ascii="Times New Roman" w:hAnsi="Times New Roman" w:cs="Times New Roman"/>
          <w:sz w:val="24"/>
          <w:szCs w:val="24"/>
        </w:rPr>
        <w:t xml:space="preserve">While minority rights and commitments to decentralized local government are clearly enshrined in Kosovo’s constitution, the extent to which municipalities may associate and conduct relations </w:t>
      </w:r>
      <w:r w:rsidR="005F0084">
        <w:rPr>
          <w:rFonts w:ascii="Times New Roman" w:hAnsi="Times New Roman" w:cs="Times New Roman"/>
          <w:sz w:val="24"/>
          <w:szCs w:val="24"/>
        </w:rPr>
        <w:t xml:space="preserve">jointly, </w:t>
      </w:r>
      <w:r w:rsidR="00A857E6">
        <w:rPr>
          <w:rFonts w:ascii="Times New Roman" w:hAnsi="Times New Roman" w:cs="Times New Roman"/>
          <w:sz w:val="24"/>
          <w:szCs w:val="24"/>
        </w:rPr>
        <w:t>across</w:t>
      </w:r>
      <w:r>
        <w:rPr>
          <w:rFonts w:ascii="Times New Roman" w:hAnsi="Times New Roman" w:cs="Times New Roman"/>
          <w:sz w:val="24"/>
          <w:szCs w:val="24"/>
        </w:rPr>
        <w:t xml:space="preserve"> borders</w:t>
      </w:r>
      <w:r w:rsidR="005F0084">
        <w:rPr>
          <w:rFonts w:ascii="Times New Roman" w:hAnsi="Times New Roman" w:cs="Times New Roman"/>
          <w:sz w:val="24"/>
          <w:szCs w:val="24"/>
        </w:rPr>
        <w:t>,</w:t>
      </w:r>
      <w:r w:rsidR="0013434B">
        <w:rPr>
          <w:rFonts w:ascii="Times New Roman" w:hAnsi="Times New Roman" w:cs="Times New Roman"/>
          <w:sz w:val="24"/>
          <w:szCs w:val="24"/>
        </w:rPr>
        <w:t xml:space="preserve"> is less clear. Following</w:t>
      </w:r>
      <w:r>
        <w:rPr>
          <w:rFonts w:ascii="Times New Roman" w:hAnsi="Times New Roman" w:cs="Times New Roman"/>
          <w:sz w:val="24"/>
          <w:szCs w:val="24"/>
        </w:rPr>
        <w:t xml:space="preserve"> months of opposition protests in Kosovo that have blocked the passage of the law</w:t>
      </w:r>
      <w:r w:rsidR="005F0084">
        <w:rPr>
          <w:rFonts w:ascii="Times New Roman" w:hAnsi="Times New Roman" w:cs="Times New Roman"/>
          <w:sz w:val="24"/>
          <w:szCs w:val="24"/>
        </w:rPr>
        <w:t xml:space="preserve"> in the Assembly</w:t>
      </w:r>
      <w:r>
        <w:rPr>
          <w:rFonts w:ascii="Times New Roman" w:hAnsi="Times New Roman" w:cs="Times New Roman"/>
          <w:sz w:val="24"/>
          <w:szCs w:val="24"/>
        </w:rPr>
        <w:t xml:space="preserve">, (and stalled negotiations with Serbia), Kosovo’s President has referred the proposed legislation to the Constitutional Court for </w:t>
      </w:r>
      <w:r w:rsidR="000A036E">
        <w:rPr>
          <w:rFonts w:ascii="Times New Roman" w:hAnsi="Times New Roman" w:cs="Times New Roman"/>
          <w:sz w:val="24"/>
          <w:szCs w:val="24"/>
        </w:rPr>
        <w:t xml:space="preserve">judicial </w:t>
      </w:r>
      <w:r>
        <w:rPr>
          <w:rFonts w:ascii="Times New Roman" w:hAnsi="Times New Roman" w:cs="Times New Roman"/>
          <w:sz w:val="24"/>
          <w:szCs w:val="24"/>
        </w:rPr>
        <w:t>review.</w:t>
      </w:r>
      <w:r w:rsidR="000A036E">
        <w:rPr>
          <w:rFonts w:ascii="Times New Roman" w:hAnsi="Times New Roman" w:cs="Times New Roman"/>
          <w:sz w:val="24"/>
          <w:szCs w:val="24"/>
        </w:rPr>
        <w:t xml:space="preserve"> </w:t>
      </w:r>
    </w:p>
    <w:p w:rsidR="000977C6" w:rsidRPr="000A036E" w:rsidRDefault="0013434B" w:rsidP="00FB3E09">
      <w:pPr>
        <w:spacing w:line="240" w:lineRule="auto"/>
        <w:jc w:val="both"/>
        <w:rPr>
          <w:rFonts w:ascii="Times New Roman" w:hAnsi="Times New Roman" w:cs="Times New Roman"/>
          <w:sz w:val="24"/>
          <w:szCs w:val="24"/>
        </w:rPr>
      </w:pPr>
      <w:r>
        <w:rPr>
          <w:rFonts w:ascii="Times New Roman" w:hAnsi="Times New Roman" w:cs="Times New Roman"/>
          <w:sz w:val="24"/>
          <w:szCs w:val="24"/>
        </w:rPr>
        <w:t>This</w:t>
      </w:r>
      <w:r w:rsidR="003F01FB">
        <w:rPr>
          <w:rFonts w:ascii="Times New Roman" w:hAnsi="Times New Roman" w:cs="Times New Roman"/>
          <w:sz w:val="24"/>
          <w:szCs w:val="24"/>
        </w:rPr>
        <w:t xml:space="preserve"> paper takes a socio-legal approach to </w:t>
      </w:r>
      <w:r w:rsidR="001F0F15">
        <w:rPr>
          <w:rFonts w:ascii="Times New Roman" w:hAnsi="Times New Roman" w:cs="Times New Roman"/>
          <w:sz w:val="24"/>
          <w:szCs w:val="24"/>
        </w:rPr>
        <w:t xml:space="preserve">Kosovo’s </w:t>
      </w:r>
      <w:r w:rsidR="003F01FB">
        <w:rPr>
          <w:rFonts w:ascii="Times New Roman" w:hAnsi="Times New Roman" w:cs="Times New Roman"/>
          <w:sz w:val="24"/>
          <w:szCs w:val="24"/>
        </w:rPr>
        <w:t>t</w:t>
      </w:r>
      <w:r w:rsidR="001F0F15">
        <w:rPr>
          <w:rFonts w:ascii="Times New Roman" w:hAnsi="Times New Roman" w:cs="Times New Roman"/>
          <w:sz w:val="24"/>
          <w:szCs w:val="24"/>
        </w:rPr>
        <w:t>ransitional constitutionalism as it relates to the</w:t>
      </w:r>
      <w:r w:rsidR="003F01FB" w:rsidRPr="003F01FB">
        <w:rPr>
          <w:rFonts w:ascii="Times New Roman" w:hAnsi="Times New Roman" w:cs="Times New Roman"/>
          <w:sz w:val="24"/>
          <w:szCs w:val="24"/>
        </w:rPr>
        <w:t xml:space="preserve"> </w:t>
      </w:r>
      <w:r w:rsidR="000977C6">
        <w:rPr>
          <w:rFonts w:ascii="Times New Roman" w:hAnsi="Times New Roman" w:cs="Times New Roman"/>
          <w:sz w:val="24"/>
          <w:szCs w:val="24"/>
        </w:rPr>
        <w:t xml:space="preserve">proposed Association and the </w:t>
      </w:r>
      <w:r w:rsidR="003F01FB" w:rsidRPr="003F01FB">
        <w:rPr>
          <w:rFonts w:ascii="Times New Roman" w:hAnsi="Times New Roman" w:cs="Times New Roman"/>
          <w:sz w:val="24"/>
          <w:szCs w:val="24"/>
        </w:rPr>
        <w:t xml:space="preserve">rights of </w:t>
      </w:r>
      <w:r w:rsidR="00A857E6">
        <w:rPr>
          <w:rFonts w:ascii="Times New Roman" w:hAnsi="Times New Roman" w:cs="Times New Roman"/>
          <w:sz w:val="24"/>
          <w:szCs w:val="24"/>
        </w:rPr>
        <w:t>minority communities</w:t>
      </w:r>
      <w:r w:rsidR="000977C6">
        <w:rPr>
          <w:rFonts w:ascii="Times New Roman" w:hAnsi="Times New Roman" w:cs="Times New Roman"/>
          <w:sz w:val="24"/>
          <w:szCs w:val="24"/>
        </w:rPr>
        <w:t xml:space="preserve"> to self-govern and to associate</w:t>
      </w:r>
      <w:r w:rsidR="003F01FB" w:rsidRPr="003F01FB">
        <w:rPr>
          <w:rFonts w:ascii="Times New Roman" w:hAnsi="Times New Roman" w:cs="Times New Roman"/>
          <w:sz w:val="24"/>
          <w:szCs w:val="24"/>
        </w:rPr>
        <w:t>.</w:t>
      </w:r>
      <w:r w:rsidR="003F01FB">
        <w:rPr>
          <w:rFonts w:ascii="Times New Roman" w:hAnsi="Times New Roman" w:cs="Times New Roman"/>
          <w:sz w:val="24"/>
          <w:szCs w:val="24"/>
        </w:rPr>
        <w:t xml:space="preserve"> </w:t>
      </w:r>
      <w:r w:rsidR="007C7336">
        <w:rPr>
          <w:rFonts w:ascii="Times New Roman" w:hAnsi="Times New Roman" w:cs="Times New Roman"/>
          <w:sz w:val="24"/>
          <w:szCs w:val="24"/>
        </w:rPr>
        <w:t xml:space="preserve">The paper will </w:t>
      </w:r>
      <w:r>
        <w:rPr>
          <w:rFonts w:ascii="Times New Roman" w:hAnsi="Times New Roman" w:cs="Times New Roman"/>
          <w:sz w:val="24"/>
          <w:szCs w:val="24"/>
        </w:rPr>
        <w:t>illustrate</w:t>
      </w:r>
      <w:r w:rsidR="007C7336">
        <w:rPr>
          <w:rFonts w:ascii="Times New Roman" w:hAnsi="Times New Roman" w:cs="Times New Roman"/>
          <w:sz w:val="24"/>
          <w:szCs w:val="24"/>
        </w:rPr>
        <w:t xml:space="preserve"> how t</w:t>
      </w:r>
      <w:r w:rsidR="00AE679D">
        <w:rPr>
          <w:rFonts w:ascii="Times New Roman" w:hAnsi="Times New Roman" w:cs="Times New Roman"/>
          <w:sz w:val="24"/>
          <w:szCs w:val="24"/>
        </w:rPr>
        <w:t>he rights of minority communities, the rights to local self-governance, and the freedom of association</w:t>
      </w:r>
      <w:r>
        <w:rPr>
          <w:rFonts w:ascii="Times New Roman" w:hAnsi="Times New Roman" w:cs="Times New Roman"/>
          <w:sz w:val="24"/>
          <w:szCs w:val="24"/>
        </w:rPr>
        <w:t>,</w:t>
      </w:r>
      <w:r w:rsidR="00AE679D">
        <w:rPr>
          <w:rFonts w:ascii="Times New Roman" w:hAnsi="Times New Roman" w:cs="Times New Roman"/>
          <w:sz w:val="24"/>
          <w:szCs w:val="24"/>
        </w:rPr>
        <w:t xml:space="preserve"> </w:t>
      </w:r>
      <w:r w:rsidR="00FB3E09">
        <w:rPr>
          <w:rFonts w:ascii="Times New Roman" w:hAnsi="Times New Roman" w:cs="Times New Roman"/>
          <w:sz w:val="24"/>
          <w:szCs w:val="24"/>
        </w:rPr>
        <w:t xml:space="preserve">are all </w:t>
      </w:r>
      <w:r w:rsidR="007C7336">
        <w:rPr>
          <w:rFonts w:ascii="Times New Roman" w:hAnsi="Times New Roman" w:cs="Times New Roman"/>
          <w:sz w:val="24"/>
          <w:szCs w:val="24"/>
        </w:rPr>
        <w:t>set</w:t>
      </w:r>
      <w:r>
        <w:rPr>
          <w:rFonts w:ascii="Times New Roman" w:hAnsi="Times New Roman" w:cs="Times New Roman"/>
          <w:sz w:val="24"/>
          <w:szCs w:val="24"/>
        </w:rPr>
        <w:t xml:space="preserve"> forth in Kosovo’s Constitution as building blocks in support of the</w:t>
      </w:r>
      <w:r w:rsidR="00AE679D">
        <w:rPr>
          <w:rFonts w:ascii="Times New Roman" w:hAnsi="Times New Roman" w:cs="Times New Roman"/>
          <w:sz w:val="24"/>
          <w:szCs w:val="24"/>
        </w:rPr>
        <w:t xml:space="preserve"> constitutionality of the propose</w:t>
      </w:r>
      <w:r w:rsidR="00AE679D" w:rsidRPr="001F0F15">
        <w:rPr>
          <w:rFonts w:ascii="Times New Roman" w:hAnsi="Times New Roman" w:cs="Times New Roman"/>
          <w:sz w:val="24"/>
          <w:szCs w:val="24"/>
        </w:rPr>
        <w:t xml:space="preserve">d Association. </w:t>
      </w:r>
      <w:r w:rsidR="00AE679D">
        <w:rPr>
          <w:rFonts w:ascii="Times New Roman" w:hAnsi="Times New Roman" w:cs="Times New Roman"/>
          <w:sz w:val="24"/>
          <w:szCs w:val="24"/>
        </w:rPr>
        <w:t xml:space="preserve">Nevertheless, </w:t>
      </w:r>
      <w:r>
        <w:rPr>
          <w:rFonts w:ascii="Times New Roman" w:hAnsi="Times New Roman" w:cs="Times New Roman"/>
          <w:sz w:val="24"/>
          <w:szCs w:val="24"/>
        </w:rPr>
        <w:t>in Kosovo’s transitional context</w:t>
      </w:r>
      <w:r w:rsidR="00BA13BD">
        <w:rPr>
          <w:rFonts w:ascii="Times New Roman" w:hAnsi="Times New Roman" w:cs="Times New Roman"/>
          <w:sz w:val="24"/>
          <w:szCs w:val="24"/>
        </w:rPr>
        <w:t xml:space="preserve">, </w:t>
      </w:r>
      <w:r w:rsidR="00A857E6">
        <w:rPr>
          <w:rFonts w:ascii="Times New Roman" w:hAnsi="Times New Roman" w:cs="Times New Roman"/>
          <w:sz w:val="24"/>
          <w:szCs w:val="24"/>
        </w:rPr>
        <w:t>the</w:t>
      </w:r>
      <w:r w:rsidR="00AE679D">
        <w:rPr>
          <w:rFonts w:ascii="Times New Roman" w:hAnsi="Times New Roman" w:cs="Times New Roman"/>
          <w:sz w:val="24"/>
          <w:szCs w:val="24"/>
        </w:rPr>
        <w:t xml:space="preserve"> l</w:t>
      </w:r>
      <w:r>
        <w:rPr>
          <w:rFonts w:ascii="Times New Roman" w:hAnsi="Times New Roman" w:cs="Times New Roman"/>
          <w:sz w:val="24"/>
          <w:szCs w:val="24"/>
        </w:rPr>
        <w:t>imits</w:t>
      </w:r>
      <w:r w:rsidR="00BA13BD">
        <w:rPr>
          <w:rFonts w:ascii="Times New Roman" w:hAnsi="Times New Roman" w:cs="Times New Roman"/>
          <w:sz w:val="24"/>
          <w:szCs w:val="24"/>
        </w:rPr>
        <w:t>, conditions or qualifications</w:t>
      </w:r>
      <w:r>
        <w:rPr>
          <w:rFonts w:ascii="Times New Roman" w:hAnsi="Times New Roman" w:cs="Times New Roman"/>
          <w:sz w:val="24"/>
          <w:szCs w:val="24"/>
        </w:rPr>
        <w:t xml:space="preserve"> </w:t>
      </w:r>
      <w:r w:rsidR="00BA13BD">
        <w:rPr>
          <w:rFonts w:ascii="Times New Roman" w:hAnsi="Times New Roman" w:cs="Times New Roman"/>
          <w:sz w:val="24"/>
          <w:szCs w:val="24"/>
        </w:rPr>
        <w:t xml:space="preserve">placed on the rights of </w:t>
      </w:r>
      <w:r w:rsidR="00A857E6">
        <w:rPr>
          <w:rFonts w:ascii="Times New Roman" w:hAnsi="Times New Roman" w:cs="Times New Roman"/>
          <w:sz w:val="24"/>
          <w:szCs w:val="24"/>
        </w:rPr>
        <w:t xml:space="preserve">minority </w:t>
      </w:r>
      <w:r w:rsidR="00BA13BD">
        <w:rPr>
          <w:rFonts w:ascii="Times New Roman" w:hAnsi="Times New Roman" w:cs="Times New Roman"/>
          <w:sz w:val="24"/>
          <w:szCs w:val="24"/>
        </w:rPr>
        <w:t xml:space="preserve">communities </w:t>
      </w:r>
      <w:r w:rsidR="00A857E6">
        <w:rPr>
          <w:rFonts w:ascii="Times New Roman" w:hAnsi="Times New Roman" w:cs="Times New Roman"/>
          <w:sz w:val="24"/>
          <w:szCs w:val="24"/>
        </w:rPr>
        <w:t>can be u</w:t>
      </w:r>
      <w:r w:rsidR="004A2E9B">
        <w:rPr>
          <w:rFonts w:ascii="Times New Roman" w:hAnsi="Times New Roman" w:cs="Times New Roman"/>
          <w:sz w:val="24"/>
          <w:szCs w:val="24"/>
        </w:rPr>
        <w:t xml:space="preserve">nderstood as an </w:t>
      </w:r>
      <w:r w:rsidR="00A857E6">
        <w:rPr>
          <w:rFonts w:ascii="Times New Roman" w:hAnsi="Times New Roman" w:cs="Times New Roman"/>
          <w:sz w:val="24"/>
          <w:szCs w:val="24"/>
        </w:rPr>
        <w:t>exercise of sovereignty</w:t>
      </w:r>
      <w:r w:rsidR="004A2E9B">
        <w:rPr>
          <w:rFonts w:ascii="Times New Roman" w:hAnsi="Times New Roman" w:cs="Times New Roman"/>
          <w:sz w:val="24"/>
          <w:szCs w:val="24"/>
        </w:rPr>
        <w:t>, weighed against the interest of competing constituencies</w:t>
      </w:r>
      <w:r w:rsidR="00A857E6">
        <w:rPr>
          <w:rFonts w:ascii="Times New Roman" w:hAnsi="Times New Roman" w:cs="Times New Roman"/>
          <w:sz w:val="24"/>
          <w:szCs w:val="24"/>
        </w:rPr>
        <w:t xml:space="preserve">. </w:t>
      </w:r>
      <w:r>
        <w:rPr>
          <w:rFonts w:ascii="Times New Roman" w:hAnsi="Times New Roman" w:cs="Times New Roman"/>
          <w:sz w:val="24"/>
          <w:szCs w:val="24"/>
        </w:rPr>
        <w:t>O</w:t>
      </w:r>
      <w:r w:rsidR="003F01FB">
        <w:rPr>
          <w:rFonts w:ascii="Times New Roman" w:hAnsi="Times New Roman" w:cs="Times New Roman"/>
          <w:sz w:val="24"/>
          <w:szCs w:val="24"/>
        </w:rPr>
        <w:t>pposition groups have a well-founded fear</w:t>
      </w:r>
      <w:r w:rsidR="00AE679D">
        <w:rPr>
          <w:rFonts w:ascii="Times New Roman" w:hAnsi="Times New Roman" w:cs="Times New Roman"/>
          <w:sz w:val="24"/>
          <w:szCs w:val="24"/>
        </w:rPr>
        <w:t xml:space="preserve"> of fragmentation</w:t>
      </w:r>
      <w:r w:rsidR="007C7336">
        <w:rPr>
          <w:rFonts w:ascii="Times New Roman" w:hAnsi="Times New Roman" w:cs="Times New Roman"/>
          <w:sz w:val="24"/>
          <w:szCs w:val="24"/>
        </w:rPr>
        <w:t xml:space="preserve"> and seek to avoid limits to sover</w:t>
      </w:r>
      <w:r>
        <w:rPr>
          <w:rFonts w:ascii="Times New Roman" w:hAnsi="Times New Roman" w:cs="Times New Roman"/>
          <w:sz w:val="24"/>
          <w:szCs w:val="24"/>
        </w:rPr>
        <w:t>eignty,</w:t>
      </w:r>
      <w:r w:rsidR="00A857E6">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0A036E">
        <w:rPr>
          <w:rFonts w:ascii="Times New Roman" w:hAnsi="Times New Roman" w:cs="Times New Roman"/>
          <w:sz w:val="24"/>
          <w:szCs w:val="24"/>
        </w:rPr>
        <w:t xml:space="preserve">having only recently gained independence, which is conditioned by international oversight. </w:t>
      </w:r>
      <w:r>
        <w:rPr>
          <w:rFonts w:ascii="Times New Roman" w:hAnsi="Times New Roman" w:cs="Times New Roman"/>
          <w:sz w:val="24"/>
          <w:szCs w:val="24"/>
        </w:rPr>
        <w:t>E.U. observers</w:t>
      </w:r>
      <w:r w:rsidR="000A036E">
        <w:rPr>
          <w:rFonts w:ascii="Times New Roman" w:hAnsi="Times New Roman" w:cs="Times New Roman"/>
          <w:sz w:val="24"/>
          <w:szCs w:val="24"/>
        </w:rPr>
        <w:t>, who themselves were champions of guarantees for minority rights within Kosovo’s Constitution, are continually weighing</w:t>
      </w:r>
      <w:r>
        <w:rPr>
          <w:rFonts w:ascii="Times New Roman" w:hAnsi="Times New Roman" w:cs="Times New Roman"/>
          <w:sz w:val="24"/>
          <w:szCs w:val="24"/>
        </w:rPr>
        <w:t xml:space="preserve"> concerns for rights against</w:t>
      </w:r>
      <w:r w:rsidR="00BA13BD">
        <w:rPr>
          <w:rFonts w:ascii="Times New Roman" w:hAnsi="Times New Roman" w:cs="Times New Roman"/>
          <w:sz w:val="24"/>
          <w:szCs w:val="24"/>
        </w:rPr>
        <w:t xml:space="preserve"> their own</w:t>
      </w:r>
      <w:r>
        <w:rPr>
          <w:rFonts w:ascii="Times New Roman" w:hAnsi="Times New Roman" w:cs="Times New Roman"/>
          <w:sz w:val="24"/>
          <w:szCs w:val="24"/>
        </w:rPr>
        <w:t xml:space="preserve"> interests in stability</w:t>
      </w:r>
      <w:r w:rsidR="007C7336">
        <w:rPr>
          <w:rFonts w:ascii="Times New Roman" w:hAnsi="Times New Roman" w:cs="Times New Roman"/>
          <w:sz w:val="24"/>
          <w:szCs w:val="24"/>
        </w:rPr>
        <w:t xml:space="preserve">. </w:t>
      </w:r>
      <w:r w:rsidR="000A036E">
        <w:rPr>
          <w:rFonts w:ascii="Times New Roman" w:hAnsi="Times New Roman" w:cs="Times New Roman"/>
          <w:sz w:val="24"/>
          <w:szCs w:val="24"/>
        </w:rPr>
        <w:t>I will argue that in the absence</w:t>
      </w:r>
      <w:r w:rsidR="00AE679D">
        <w:rPr>
          <w:rFonts w:ascii="Times New Roman" w:hAnsi="Times New Roman" w:cs="Times New Roman"/>
          <w:sz w:val="24"/>
          <w:szCs w:val="24"/>
        </w:rPr>
        <w:t xml:space="preserve"> of consensus among the di</w:t>
      </w:r>
      <w:r w:rsidR="004A2E9B">
        <w:rPr>
          <w:rFonts w:ascii="Times New Roman" w:hAnsi="Times New Roman" w:cs="Times New Roman"/>
          <w:sz w:val="24"/>
          <w:szCs w:val="24"/>
        </w:rPr>
        <w:t>verse constituent groups</w:t>
      </w:r>
      <w:r w:rsidR="000A036E">
        <w:rPr>
          <w:rFonts w:ascii="Times New Roman" w:hAnsi="Times New Roman" w:cs="Times New Roman"/>
          <w:sz w:val="24"/>
          <w:szCs w:val="24"/>
        </w:rPr>
        <w:t xml:space="preserve"> involved, the opportunity for constitutional review of the Association </w:t>
      </w:r>
      <w:r w:rsidR="005F0084">
        <w:rPr>
          <w:rFonts w:ascii="Times New Roman" w:hAnsi="Times New Roman" w:cs="Times New Roman"/>
          <w:sz w:val="24"/>
          <w:szCs w:val="24"/>
        </w:rPr>
        <w:t xml:space="preserve">may </w:t>
      </w:r>
      <w:r w:rsidR="002F1593">
        <w:rPr>
          <w:rFonts w:ascii="Times New Roman" w:hAnsi="Times New Roman" w:cs="Times New Roman"/>
          <w:sz w:val="24"/>
          <w:szCs w:val="24"/>
        </w:rPr>
        <w:t>enable</w:t>
      </w:r>
      <w:r w:rsidR="000A036E">
        <w:rPr>
          <w:rFonts w:ascii="Times New Roman" w:hAnsi="Times New Roman" w:cs="Times New Roman"/>
          <w:sz w:val="24"/>
          <w:szCs w:val="24"/>
        </w:rPr>
        <w:t xml:space="preserve"> the Constitutional Cou</w:t>
      </w:r>
      <w:r w:rsidR="002F1593">
        <w:rPr>
          <w:rFonts w:ascii="Times New Roman" w:hAnsi="Times New Roman" w:cs="Times New Roman"/>
          <w:sz w:val="24"/>
          <w:szCs w:val="24"/>
        </w:rPr>
        <w:t xml:space="preserve">rt </w:t>
      </w:r>
      <w:r w:rsidR="000A036E">
        <w:rPr>
          <w:rFonts w:ascii="Times New Roman" w:hAnsi="Times New Roman" w:cs="Times New Roman"/>
          <w:sz w:val="24"/>
          <w:szCs w:val="24"/>
        </w:rPr>
        <w:t>to apply</w:t>
      </w:r>
      <w:r w:rsidR="00AE679D">
        <w:rPr>
          <w:rFonts w:ascii="Times New Roman" w:hAnsi="Times New Roman" w:cs="Times New Roman"/>
          <w:sz w:val="24"/>
          <w:szCs w:val="24"/>
        </w:rPr>
        <w:t xml:space="preserve"> </w:t>
      </w:r>
      <w:r w:rsidR="00090737">
        <w:rPr>
          <w:rFonts w:ascii="Times New Roman" w:hAnsi="Times New Roman" w:cs="Times New Roman"/>
          <w:sz w:val="24"/>
          <w:szCs w:val="24"/>
        </w:rPr>
        <w:t xml:space="preserve">proportionality </w:t>
      </w:r>
      <w:r w:rsidR="00090737" w:rsidRPr="00090737">
        <w:rPr>
          <w:rFonts w:ascii="Times New Roman" w:hAnsi="Times New Roman" w:cs="Times New Roman"/>
          <w:i/>
          <w:sz w:val="24"/>
          <w:szCs w:val="24"/>
        </w:rPr>
        <w:t>stricto sensu</w:t>
      </w:r>
      <w:r w:rsidR="00AE679D">
        <w:rPr>
          <w:rFonts w:ascii="Times New Roman" w:hAnsi="Times New Roman" w:cs="Times New Roman"/>
          <w:sz w:val="24"/>
          <w:szCs w:val="24"/>
        </w:rPr>
        <w:t xml:space="preserve"> to balance </w:t>
      </w:r>
      <w:r w:rsidR="00BA13BD">
        <w:rPr>
          <w:rFonts w:ascii="Times New Roman" w:hAnsi="Times New Roman" w:cs="Times New Roman"/>
          <w:sz w:val="24"/>
          <w:szCs w:val="24"/>
        </w:rPr>
        <w:t xml:space="preserve">the </w:t>
      </w:r>
      <w:r>
        <w:rPr>
          <w:rFonts w:ascii="Times New Roman" w:hAnsi="Times New Roman" w:cs="Times New Roman"/>
          <w:sz w:val="24"/>
          <w:szCs w:val="24"/>
        </w:rPr>
        <w:t>competing interests of</w:t>
      </w:r>
      <w:r w:rsidR="00FB3E09">
        <w:rPr>
          <w:rFonts w:ascii="Times New Roman" w:hAnsi="Times New Roman" w:cs="Times New Roman"/>
          <w:sz w:val="24"/>
          <w:szCs w:val="24"/>
        </w:rPr>
        <w:t xml:space="preserve"> </w:t>
      </w:r>
      <w:r w:rsidR="00BA13BD">
        <w:rPr>
          <w:rFonts w:ascii="Times New Roman" w:hAnsi="Times New Roman" w:cs="Times New Roman"/>
          <w:sz w:val="24"/>
          <w:szCs w:val="24"/>
        </w:rPr>
        <w:t>constituent groups in Kosovo</w:t>
      </w:r>
      <w:r w:rsidR="00090737">
        <w:rPr>
          <w:rFonts w:ascii="Times New Roman" w:hAnsi="Times New Roman" w:cs="Times New Roman"/>
          <w:sz w:val="24"/>
          <w:szCs w:val="24"/>
        </w:rPr>
        <w:t xml:space="preserve"> as well as the interests of</w:t>
      </w:r>
      <w:r w:rsidR="00FB3E09">
        <w:rPr>
          <w:rFonts w:ascii="Times New Roman" w:hAnsi="Times New Roman" w:cs="Times New Roman"/>
          <w:sz w:val="24"/>
          <w:szCs w:val="24"/>
        </w:rPr>
        <w:t xml:space="preserve"> E.U. observers</w:t>
      </w:r>
      <w:r w:rsidR="002F1593">
        <w:rPr>
          <w:rFonts w:ascii="Times New Roman" w:hAnsi="Times New Roman" w:cs="Times New Roman"/>
          <w:sz w:val="24"/>
          <w:szCs w:val="24"/>
        </w:rPr>
        <w:t>.</w:t>
      </w:r>
    </w:p>
    <w:p w:rsidR="00AE679D" w:rsidRPr="00D547AF" w:rsidRDefault="00AE679D" w:rsidP="00D547AF">
      <w:pPr>
        <w:spacing w:line="240" w:lineRule="auto"/>
        <w:jc w:val="both"/>
        <w:rPr>
          <w:rFonts w:ascii="Times New Roman" w:hAnsi="Times New Roman" w:cs="Times New Roman"/>
          <w:b/>
          <w:sz w:val="24"/>
          <w:szCs w:val="24"/>
        </w:rPr>
      </w:pPr>
      <w:r w:rsidRPr="00D547AF">
        <w:rPr>
          <w:rFonts w:ascii="Times New Roman" w:hAnsi="Times New Roman" w:cs="Times New Roman"/>
          <w:b/>
          <w:sz w:val="24"/>
          <w:szCs w:val="24"/>
        </w:rPr>
        <w:t>The Rights of Communities and Their Members</w:t>
      </w:r>
    </w:p>
    <w:p w:rsidR="00BD6DE0" w:rsidRDefault="00AE679D" w:rsidP="00BD6D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Kosovo’s Constitution is </w:t>
      </w:r>
      <w:r w:rsidR="00564C53">
        <w:rPr>
          <w:rFonts w:ascii="Times New Roman" w:hAnsi="Times New Roman" w:cs="Times New Roman"/>
          <w:sz w:val="24"/>
          <w:szCs w:val="24"/>
        </w:rPr>
        <w:t>an output of an internationally-mandated status settlement proposal.</w:t>
      </w:r>
      <w:r w:rsidR="009C797B">
        <w:rPr>
          <w:rStyle w:val="FootnoteReference"/>
          <w:rFonts w:ascii="Times New Roman" w:hAnsi="Times New Roman" w:cs="Times New Roman"/>
          <w:sz w:val="24"/>
          <w:szCs w:val="24"/>
        </w:rPr>
        <w:footnoteReference w:id="2"/>
      </w:r>
      <w:r w:rsidR="00564C53">
        <w:rPr>
          <w:rFonts w:ascii="Times New Roman" w:hAnsi="Times New Roman" w:cs="Times New Roman"/>
          <w:sz w:val="24"/>
          <w:szCs w:val="24"/>
        </w:rPr>
        <w:t xml:space="preserve"> It is unique</w:t>
      </w:r>
      <w:r>
        <w:rPr>
          <w:rFonts w:ascii="Times New Roman" w:hAnsi="Times New Roman" w:cs="Times New Roman"/>
          <w:sz w:val="24"/>
          <w:szCs w:val="24"/>
        </w:rPr>
        <w:t xml:space="preserve"> in a number of ways</w:t>
      </w:r>
      <w:r w:rsidR="00564C53">
        <w:rPr>
          <w:rFonts w:ascii="Times New Roman" w:hAnsi="Times New Roman" w:cs="Times New Roman"/>
          <w:sz w:val="24"/>
          <w:szCs w:val="24"/>
        </w:rPr>
        <w:t>, but i</w:t>
      </w:r>
      <w:r w:rsidR="005F0084">
        <w:rPr>
          <w:rFonts w:ascii="Times New Roman" w:hAnsi="Times New Roman" w:cs="Times New Roman"/>
          <w:sz w:val="24"/>
          <w:szCs w:val="24"/>
        </w:rPr>
        <w:t>t i</w:t>
      </w:r>
      <w:r w:rsidR="00564C53">
        <w:rPr>
          <w:rFonts w:ascii="Times New Roman" w:hAnsi="Times New Roman" w:cs="Times New Roman"/>
          <w:sz w:val="24"/>
          <w:szCs w:val="24"/>
        </w:rPr>
        <w:t>s</w:t>
      </w:r>
      <w:r>
        <w:rPr>
          <w:rFonts w:ascii="Times New Roman" w:hAnsi="Times New Roman" w:cs="Times New Roman"/>
          <w:sz w:val="24"/>
          <w:szCs w:val="24"/>
        </w:rPr>
        <w:t xml:space="preserve"> perhaps most unique by the number of rights made explicit for </w:t>
      </w:r>
      <w:r w:rsidR="007C7336">
        <w:rPr>
          <w:rFonts w:ascii="Times New Roman" w:hAnsi="Times New Roman" w:cs="Times New Roman"/>
          <w:sz w:val="24"/>
          <w:szCs w:val="24"/>
        </w:rPr>
        <w:t>minority communities</w:t>
      </w:r>
      <w:r w:rsidR="00B601DE">
        <w:rPr>
          <w:rFonts w:ascii="Times New Roman" w:hAnsi="Times New Roman" w:cs="Times New Roman"/>
          <w:sz w:val="24"/>
          <w:szCs w:val="24"/>
        </w:rPr>
        <w:t xml:space="preserve"> short of a Federalist framewor</w:t>
      </w:r>
      <w:r w:rsidR="00BD6DE0">
        <w:rPr>
          <w:rFonts w:ascii="Times New Roman" w:hAnsi="Times New Roman" w:cs="Times New Roman"/>
          <w:sz w:val="24"/>
          <w:szCs w:val="24"/>
        </w:rPr>
        <w:t>k</w:t>
      </w:r>
      <w:r>
        <w:rPr>
          <w:rFonts w:ascii="Times New Roman" w:hAnsi="Times New Roman" w:cs="Times New Roman"/>
          <w:sz w:val="24"/>
          <w:szCs w:val="24"/>
        </w:rPr>
        <w:t xml:space="preserve">. The reasons for this can be explained in the context of the transition </w:t>
      </w:r>
      <w:r w:rsidR="009C797B">
        <w:rPr>
          <w:rFonts w:ascii="Times New Roman" w:hAnsi="Times New Roman" w:cs="Times New Roman"/>
          <w:sz w:val="24"/>
          <w:szCs w:val="24"/>
        </w:rPr>
        <w:t>to independence that gave way to</w:t>
      </w:r>
      <w:r>
        <w:rPr>
          <w:rFonts w:ascii="Times New Roman" w:hAnsi="Times New Roman" w:cs="Times New Roman"/>
          <w:sz w:val="24"/>
          <w:szCs w:val="24"/>
        </w:rPr>
        <w:t xml:space="preserve"> the drafting of the Constitution</w:t>
      </w:r>
      <w:r w:rsidR="009C797B">
        <w:rPr>
          <w:rFonts w:ascii="Times New Roman" w:hAnsi="Times New Roman" w:cs="Times New Roman"/>
          <w:sz w:val="24"/>
          <w:szCs w:val="24"/>
        </w:rPr>
        <w:t xml:space="preserve">, </w:t>
      </w:r>
      <w:r w:rsidR="007C7336">
        <w:rPr>
          <w:rFonts w:ascii="Times New Roman" w:hAnsi="Times New Roman" w:cs="Times New Roman"/>
          <w:sz w:val="24"/>
          <w:szCs w:val="24"/>
        </w:rPr>
        <w:t xml:space="preserve">and </w:t>
      </w:r>
      <w:r w:rsidR="009C797B">
        <w:rPr>
          <w:rFonts w:ascii="Times New Roman" w:hAnsi="Times New Roman" w:cs="Times New Roman"/>
          <w:sz w:val="24"/>
          <w:szCs w:val="24"/>
        </w:rPr>
        <w:t xml:space="preserve">the </w:t>
      </w:r>
      <w:r w:rsidR="007C7336">
        <w:rPr>
          <w:rFonts w:ascii="Times New Roman" w:hAnsi="Times New Roman" w:cs="Times New Roman"/>
          <w:sz w:val="24"/>
          <w:szCs w:val="24"/>
        </w:rPr>
        <w:t xml:space="preserve">shared interest of parties to avoid the scenario played out in Bosnia and Herzegovina, where parsing </w:t>
      </w:r>
      <w:r w:rsidR="009C797B">
        <w:rPr>
          <w:rFonts w:ascii="Times New Roman" w:hAnsi="Times New Roman" w:cs="Times New Roman"/>
          <w:sz w:val="24"/>
          <w:szCs w:val="24"/>
        </w:rPr>
        <w:t xml:space="preserve">of ethnic enclaves </w:t>
      </w:r>
      <w:r w:rsidR="007C7336">
        <w:rPr>
          <w:rFonts w:ascii="Times New Roman" w:hAnsi="Times New Roman" w:cs="Times New Roman"/>
          <w:sz w:val="24"/>
          <w:szCs w:val="24"/>
        </w:rPr>
        <w:t xml:space="preserve">across the federation </w:t>
      </w:r>
      <w:r w:rsidR="00D547AF">
        <w:rPr>
          <w:rFonts w:ascii="Times New Roman" w:hAnsi="Times New Roman" w:cs="Times New Roman"/>
          <w:sz w:val="24"/>
          <w:szCs w:val="24"/>
        </w:rPr>
        <w:t>has inhibited</w:t>
      </w:r>
      <w:r w:rsidR="007C7336">
        <w:rPr>
          <w:rFonts w:ascii="Times New Roman" w:hAnsi="Times New Roman" w:cs="Times New Roman"/>
          <w:sz w:val="24"/>
          <w:szCs w:val="24"/>
        </w:rPr>
        <w:t xml:space="preserve"> the functioning </w:t>
      </w:r>
      <w:r w:rsidR="007C7336">
        <w:rPr>
          <w:rFonts w:ascii="Times New Roman" w:hAnsi="Times New Roman" w:cs="Times New Roman"/>
          <w:sz w:val="24"/>
          <w:szCs w:val="24"/>
        </w:rPr>
        <w:lastRenderedPageBreak/>
        <w:t xml:space="preserve">of the state. </w:t>
      </w:r>
      <w:r>
        <w:rPr>
          <w:rFonts w:ascii="Times New Roman" w:hAnsi="Times New Roman" w:cs="Times New Roman"/>
          <w:sz w:val="24"/>
          <w:szCs w:val="24"/>
        </w:rPr>
        <w:t xml:space="preserve">The 2007 status settlement proposal </w:t>
      </w:r>
      <w:r w:rsidR="007C7336">
        <w:rPr>
          <w:rFonts w:ascii="Times New Roman" w:hAnsi="Times New Roman" w:cs="Times New Roman"/>
          <w:sz w:val="24"/>
          <w:szCs w:val="24"/>
        </w:rPr>
        <w:t xml:space="preserve">for Kosovo </w:t>
      </w:r>
      <w:r>
        <w:rPr>
          <w:rFonts w:ascii="Times New Roman" w:hAnsi="Times New Roman" w:cs="Times New Roman"/>
          <w:sz w:val="24"/>
          <w:szCs w:val="24"/>
        </w:rPr>
        <w:t xml:space="preserve">prescribed guarantees for minority communities upon which recognition of Kosovo’s </w:t>
      </w:r>
      <w:r w:rsidRPr="00B601DE">
        <w:rPr>
          <w:rFonts w:ascii="Times New Roman" w:hAnsi="Times New Roman" w:cs="Times New Roman"/>
          <w:sz w:val="24"/>
          <w:szCs w:val="24"/>
        </w:rPr>
        <w:t>independence would be conditioned</w:t>
      </w:r>
      <w:r w:rsidR="007C7336" w:rsidRPr="00B601DE">
        <w:rPr>
          <w:rFonts w:ascii="Times New Roman" w:hAnsi="Times New Roman" w:cs="Times New Roman"/>
          <w:sz w:val="24"/>
          <w:szCs w:val="24"/>
        </w:rPr>
        <w:t>, but explicitly called for a single, non-Federal territory</w:t>
      </w:r>
      <w:r w:rsidR="00350532" w:rsidRPr="00B601DE">
        <w:rPr>
          <w:rFonts w:ascii="Times New Roman" w:hAnsi="Times New Roman" w:cs="Times New Roman"/>
          <w:sz w:val="24"/>
          <w:szCs w:val="24"/>
        </w:rPr>
        <w:t xml:space="preserve"> that woul</w:t>
      </w:r>
      <w:r w:rsidR="00B601DE" w:rsidRPr="00B601DE">
        <w:rPr>
          <w:rFonts w:ascii="Times New Roman" w:hAnsi="Times New Roman" w:cs="Times New Roman"/>
          <w:sz w:val="24"/>
          <w:szCs w:val="24"/>
        </w:rPr>
        <w:t xml:space="preserve">d </w:t>
      </w:r>
      <w:r w:rsidR="00B601DE" w:rsidRPr="00BD6DE0">
        <w:rPr>
          <w:rFonts w:ascii="Times New Roman" w:hAnsi="Times New Roman" w:cs="Times New Roman"/>
          <w:sz w:val="24"/>
          <w:szCs w:val="24"/>
        </w:rPr>
        <w:t>“be based upon the principles of equality of all individuals before the law and with full respect for internationally recognized fundamental human rights and freedoms, as well as protection of the rights of and participation by</w:t>
      </w:r>
      <w:r w:rsidR="00B601DE" w:rsidRPr="00B601DE">
        <w:rPr>
          <w:rFonts w:ascii="Times New Roman" w:hAnsi="Times New Roman" w:cs="Times New Roman"/>
          <w:i/>
          <w:sz w:val="24"/>
          <w:szCs w:val="24"/>
        </w:rPr>
        <w:t xml:space="preserve"> al</w:t>
      </w:r>
      <w:r w:rsidR="00B601DE">
        <w:rPr>
          <w:rFonts w:ascii="Times New Roman" w:hAnsi="Times New Roman" w:cs="Times New Roman"/>
          <w:i/>
          <w:sz w:val="24"/>
          <w:szCs w:val="24"/>
        </w:rPr>
        <w:t>l Communities and their members.”</w:t>
      </w:r>
      <w:r w:rsidR="002844D2">
        <w:rPr>
          <w:rStyle w:val="FootnoteReference"/>
          <w:rFonts w:ascii="Times New Roman" w:hAnsi="Times New Roman" w:cs="Times New Roman"/>
          <w:i/>
          <w:sz w:val="24"/>
          <w:szCs w:val="24"/>
        </w:rPr>
        <w:footnoteReference w:id="3"/>
      </w:r>
      <w:r w:rsidR="00B601DE" w:rsidRPr="00B601DE">
        <w:rPr>
          <w:rFonts w:ascii="Times New Roman" w:hAnsi="Times New Roman" w:cs="Times New Roman"/>
          <w:i/>
          <w:sz w:val="24"/>
          <w:szCs w:val="24"/>
        </w:rPr>
        <w:t xml:space="preserve"> </w:t>
      </w:r>
      <w:r w:rsidRPr="00B601DE">
        <w:rPr>
          <w:rFonts w:ascii="Times New Roman" w:hAnsi="Times New Roman" w:cs="Times New Roman"/>
          <w:sz w:val="24"/>
          <w:szCs w:val="24"/>
        </w:rPr>
        <w:t xml:space="preserve">The </w:t>
      </w:r>
      <w:r w:rsidR="009C797B" w:rsidRPr="00B601DE">
        <w:rPr>
          <w:rFonts w:ascii="Times New Roman" w:hAnsi="Times New Roman" w:cs="Times New Roman"/>
          <w:sz w:val="24"/>
          <w:szCs w:val="24"/>
        </w:rPr>
        <w:t xml:space="preserve">Constitution </w:t>
      </w:r>
      <w:r w:rsidR="00BD6DE0">
        <w:rPr>
          <w:rFonts w:ascii="Times New Roman" w:hAnsi="Times New Roman" w:cs="Times New Roman"/>
          <w:sz w:val="24"/>
          <w:szCs w:val="24"/>
        </w:rPr>
        <w:t>goes on to</w:t>
      </w:r>
      <w:r w:rsidR="009C797B" w:rsidRPr="00B601DE">
        <w:rPr>
          <w:rFonts w:ascii="Times New Roman" w:hAnsi="Times New Roman" w:cs="Times New Roman"/>
          <w:sz w:val="24"/>
          <w:szCs w:val="24"/>
        </w:rPr>
        <w:t xml:space="preserve"> </w:t>
      </w:r>
      <w:r w:rsidR="00BD6DE0">
        <w:rPr>
          <w:rFonts w:ascii="Times New Roman" w:hAnsi="Times New Roman" w:cs="Times New Roman"/>
          <w:sz w:val="24"/>
          <w:szCs w:val="24"/>
        </w:rPr>
        <w:t>provide</w:t>
      </w:r>
      <w:r w:rsidR="009C797B" w:rsidRPr="00B601DE">
        <w:rPr>
          <w:rFonts w:ascii="Times New Roman" w:hAnsi="Times New Roman" w:cs="Times New Roman"/>
          <w:sz w:val="24"/>
          <w:szCs w:val="24"/>
        </w:rPr>
        <w:t xml:space="preserve"> </w:t>
      </w:r>
      <w:r w:rsidRPr="00B601DE">
        <w:rPr>
          <w:rFonts w:ascii="Times New Roman" w:hAnsi="Times New Roman" w:cs="Times New Roman"/>
          <w:sz w:val="24"/>
          <w:szCs w:val="24"/>
        </w:rPr>
        <w:t>rights of minorit</w:t>
      </w:r>
      <w:r w:rsidR="007C7336" w:rsidRPr="00B601DE">
        <w:rPr>
          <w:rFonts w:ascii="Times New Roman" w:hAnsi="Times New Roman" w:cs="Times New Roman"/>
          <w:sz w:val="24"/>
          <w:szCs w:val="24"/>
        </w:rPr>
        <w:t>y</w:t>
      </w:r>
      <w:r>
        <w:rPr>
          <w:rFonts w:ascii="Times New Roman" w:hAnsi="Times New Roman" w:cs="Times New Roman"/>
          <w:sz w:val="24"/>
          <w:szCs w:val="24"/>
        </w:rPr>
        <w:t xml:space="preserve"> communities and their m</w:t>
      </w:r>
      <w:r w:rsidR="000D4830">
        <w:rPr>
          <w:rFonts w:ascii="Times New Roman" w:hAnsi="Times New Roman" w:cs="Times New Roman"/>
          <w:sz w:val="24"/>
          <w:szCs w:val="24"/>
        </w:rPr>
        <w:t>embers in more than one article. E</w:t>
      </w:r>
      <w:r>
        <w:rPr>
          <w:rFonts w:ascii="Times New Roman" w:hAnsi="Times New Roman" w:cs="Times New Roman"/>
          <w:sz w:val="24"/>
          <w:szCs w:val="24"/>
        </w:rPr>
        <w:t>ight international agreements and instruments guaranteeing fundamental freedoms</w:t>
      </w:r>
      <w:r w:rsidR="009C797B">
        <w:rPr>
          <w:rFonts w:ascii="Times New Roman" w:hAnsi="Times New Roman" w:cs="Times New Roman"/>
          <w:sz w:val="24"/>
          <w:szCs w:val="24"/>
        </w:rPr>
        <w:t xml:space="preserve"> </w:t>
      </w:r>
      <w:r w:rsidR="000D4830">
        <w:rPr>
          <w:rFonts w:ascii="Times New Roman" w:hAnsi="Times New Roman" w:cs="Times New Roman"/>
          <w:sz w:val="24"/>
          <w:szCs w:val="24"/>
        </w:rPr>
        <w:t xml:space="preserve">are incorporated directly </w:t>
      </w:r>
      <w:r w:rsidR="009C797B">
        <w:rPr>
          <w:rFonts w:ascii="Times New Roman" w:hAnsi="Times New Roman" w:cs="Times New Roman"/>
          <w:sz w:val="24"/>
          <w:szCs w:val="24"/>
        </w:rPr>
        <w:t>under Article 22, while</w:t>
      </w:r>
      <w:r>
        <w:rPr>
          <w:rFonts w:ascii="Times New Roman" w:hAnsi="Times New Roman" w:cs="Times New Roman"/>
          <w:sz w:val="24"/>
          <w:szCs w:val="24"/>
        </w:rPr>
        <w:t xml:space="preserve"> Articles 53, 54, 55 </w:t>
      </w:r>
      <w:r w:rsidR="00BD6DE0">
        <w:rPr>
          <w:rFonts w:ascii="Times New Roman" w:hAnsi="Times New Roman" w:cs="Times New Roman"/>
          <w:sz w:val="24"/>
          <w:szCs w:val="24"/>
        </w:rPr>
        <w:t xml:space="preserve">and 59 </w:t>
      </w:r>
      <w:r>
        <w:rPr>
          <w:rFonts w:ascii="Times New Roman" w:hAnsi="Times New Roman" w:cs="Times New Roman"/>
          <w:sz w:val="24"/>
          <w:szCs w:val="24"/>
        </w:rPr>
        <w:t>all relate to the rights of minority communities specifically.</w:t>
      </w:r>
      <w:r w:rsidR="001663D7">
        <w:rPr>
          <w:rFonts w:ascii="Times New Roman" w:hAnsi="Times New Roman" w:cs="Times New Roman"/>
          <w:sz w:val="24"/>
          <w:szCs w:val="24"/>
        </w:rPr>
        <w:t xml:space="preserve"> </w:t>
      </w:r>
    </w:p>
    <w:p w:rsidR="000D4830" w:rsidRPr="000D4830" w:rsidRDefault="00BD6DE0" w:rsidP="00BD6D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multiplicity of </w:t>
      </w:r>
      <w:r w:rsidRPr="000D4830">
        <w:rPr>
          <w:rFonts w:ascii="Times New Roman" w:hAnsi="Times New Roman" w:cs="Times New Roman"/>
          <w:sz w:val="24"/>
          <w:szCs w:val="24"/>
        </w:rPr>
        <w:t>rights guarantees to minority communities and their members is important to the constitutionality of the Association, but even with numerous and redundant rights provisions, there is ambiguity and</w:t>
      </w:r>
      <w:r w:rsidR="000D4830" w:rsidRPr="000D4830">
        <w:rPr>
          <w:rFonts w:ascii="Times New Roman" w:hAnsi="Times New Roman" w:cs="Times New Roman"/>
          <w:sz w:val="24"/>
          <w:szCs w:val="24"/>
        </w:rPr>
        <w:t xml:space="preserve"> room for </w:t>
      </w:r>
      <w:r w:rsidRPr="000D4830">
        <w:rPr>
          <w:rFonts w:ascii="Times New Roman" w:hAnsi="Times New Roman" w:cs="Times New Roman"/>
          <w:sz w:val="24"/>
          <w:szCs w:val="24"/>
        </w:rPr>
        <w:t xml:space="preserve">interpretation that may </w:t>
      </w:r>
      <w:r w:rsidR="00E81770">
        <w:rPr>
          <w:rFonts w:ascii="Times New Roman" w:hAnsi="Times New Roman" w:cs="Times New Roman"/>
          <w:sz w:val="24"/>
          <w:szCs w:val="24"/>
        </w:rPr>
        <w:t>need to</w:t>
      </w:r>
      <w:r w:rsidR="000D4830" w:rsidRPr="000D4830">
        <w:rPr>
          <w:rFonts w:ascii="Times New Roman" w:hAnsi="Times New Roman" w:cs="Times New Roman"/>
          <w:sz w:val="24"/>
          <w:szCs w:val="24"/>
        </w:rPr>
        <w:t xml:space="preserve"> </w:t>
      </w:r>
      <w:r w:rsidRPr="000D4830">
        <w:rPr>
          <w:rFonts w:ascii="Times New Roman" w:hAnsi="Times New Roman" w:cs="Times New Roman"/>
          <w:sz w:val="24"/>
          <w:szCs w:val="24"/>
        </w:rPr>
        <w:t>be addressed by the Constitutional Court. Article 59.12</w:t>
      </w:r>
      <w:r w:rsidR="00E81770">
        <w:rPr>
          <w:rStyle w:val="FootnoteReference"/>
          <w:rFonts w:ascii="Times New Roman" w:hAnsi="Times New Roman" w:cs="Times New Roman"/>
          <w:sz w:val="24"/>
          <w:szCs w:val="24"/>
        </w:rPr>
        <w:footnoteReference w:id="4"/>
      </w:r>
      <w:r w:rsidR="00E81770">
        <w:rPr>
          <w:rFonts w:ascii="Times New Roman" w:hAnsi="Times New Roman" w:cs="Times New Roman"/>
          <w:sz w:val="24"/>
          <w:szCs w:val="24"/>
        </w:rPr>
        <w:t xml:space="preserve"> </w:t>
      </w:r>
      <w:r w:rsidR="000D4830" w:rsidRPr="000D4830">
        <w:rPr>
          <w:rFonts w:ascii="Times New Roman" w:hAnsi="Times New Roman" w:cs="Times New Roman"/>
          <w:sz w:val="24"/>
          <w:szCs w:val="24"/>
        </w:rPr>
        <w:t>prescribes</w:t>
      </w:r>
      <w:r w:rsidRPr="000D4830">
        <w:rPr>
          <w:rFonts w:ascii="Times New Roman" w:hAnsi="Times New Roman" w:cs="Times New Roman"/>
          <w:sz w:val="24"/>
          <w:szCs w:val="24"/>
        </w:rPr>
        <w:t xml:space="preserve"> the righ</w:t>
      </w:r>
      <w:r w:rsidR="000D4830" w:rsidRPr="000D4830">
        <w:rPr>
          <w:rFonts w:ascii="Times New Roman" w:hAnsi="Times New Roman" w:cs="Times New Roman"/>
          <w:sz w:val="24"/>
          <w:szCs w:val="24"/>
        </w:rPr>
        <w:t xml:space="preserve">ts of community members to </w:t>
      </w:r>
      <w:r w:rsidRPr="000D4830">
        <w:rPr>
          <w:rFonts w:ascii="Times New Roman" w:hAnsi="Times New Roman" w:cs="Times New Roman"/>
          <w:sz w:val="24"/>
          <w:szCs w:val="24"/>
        </w:rPr>
        <w:t>enjoy unhindered contacts among themselves</w:t>
      </w:r>
      <w:r w:rsidR="000D4830" w:rsidRPr="000D4830">
        <w:rPr>
          <w:rFonts w:ascii="Times New Roman" w:hAnsi="Times New Roman" w:cs="Times New Roman"/>
          <w:sz w:val="24"/>
          <w:szCs w:val="24"/>
        </w:rPr>
        <w:t xml:space="preserve">, to </w:t>
      </w:r>
      <w:r w:rsidRPr="000D4830">
        <w:rPr>
          <w:rFonts w:ascii="Times New Roman" w:hAnsi="Times New Roman" w:cs="Times New Roman"/>
          <w:sz w:val="24"/>
          <w:szCs w:val="24"/>
        </w:rPr>
        <w:t>establish and maintain free and peaceful cont</w:t>
      </w:r>
      <w:r w:rsidR="000D4830" w:rsidRPr="000D4830">
        <w:rPr>
          <w:rFonts w:ascii="Times New Roman" w:hAnsi="Times New Roman" w:cs="Times New Roman"/>
          <w:sz w:val="24"/>
          <w:szCs w:val="24"/>
        </w:rPr>
        <w:t>acts with persons in any State, in particular those with whom they share an ethnic, cultural, linguistic or religious identity, or a common cultural heritage, in accordance with the law and international standards. Article 59.12, however, does not address whether contacts are limited to individual persons, or whether “any persons” extends to organizations or government(s) or relations between organizations and governments.</w:t>
      </w:r>
    </w:p>
    <w:p w:rsidR="00A857E6" w:rsidRPr="00E81770" w:rsidRDefault="000D4830" w:rsidP="00D547AF">
      <w:pPr>
        <w:spacing w:line="240" w:lineRule="auto"/>
        <w:jc w:val="both"/>
        <w:rPr>
          <w:rFonts w:ascii="Times New Roman" w:hAnsi="Times New Roman" w:cs="Times New Roman"/>
          <w:sz w:val="24"/>
          <w:szCs w:val="24"/>
        </w:rPr>
      </w:pPr>
      <w:r w:rsidRPr="000D4830">
        <w:rPr>
          <w:rFonts w:ascii="Times New Roman" w:hAnsi="Times New Roman" w:cs="Times New Roman"/>
          <w:sz w:val="24"/>
          <w:szCs w:val="24"/>
        </w:rPr>
        <w:t xml:space="preserve">Article 59.14 prescribes the rights of </w:t>
      </w:r>
      <w:r w:rsidR="00E81770">
        <w:rPr>
          <w:rFonts w:ascii="Times New Roman" w:hAnsi="Times New Roman" w:cs="Times New Roman"/>
          <w:sz w:val="24"/>
          <w:szCs w:val="24"/>
        </w:rPr>
        <w:t>communities and their</w:t>
      </w:r>
      <w:r w:rsidRPr="000D4830">
        <w:rPr>
          <w:rFonts w:ascii="Times New Roman" w:hAnsi="Times New Roman" w:cs="Times New Roman"/>
          <w:sz w:val="24"/>
          <w:szCs w:val="24"/>
        </w:rPr>
        <w:t xml:space="preserve"> members to </w:t>
      </w:r>
      <w:r w:rsidR="00BD6DE0" w:rsidRPr="000D4830">
        <w:rPr>
          <w:rFonts w:ascii="Times New Roman" w:hAnsi="Times New Roman" w:cs="Times New Roman"/>
          <w:i/>
          <w:sz w:val="24"/>
          <w:szCs w:val="24"/>
        </w:rPr>
        <w:t>establish associations</w:t>
      </w:r>
      <w:r w:rsidR="00BD6DE0" w:rsidRPr="000D4830">
        <w:rPr>
          <w:rFonts w:ascii="Times New Roman" w:hAnsi="Times New Roman" w:cs="Times New Roman"/>
          <w:sz w:val="24"/>
          <w:szCs w:val="24"/>
        </w:rPr>
        <w:t xml:space="preserve"> for culture, art, science and education as well as scholarly and other associations for the expression, fostering and development of their identity.</w:t>
      </w:r>
      <w:r>
        <w:rPr>
          <w:rFonts w:ascii="Times New Roman" w:hAnsi="Times New Roman" w:cs="Times New Roman"/>
          <w:sz w:val="24"/>
          <w:szCs w:val="24"/>
        </w:rPr>
        <w:t xml:space="preserve"> </w:t>
      </w:r>
      <w:r w:rsidR="00E81770">
        <w:rPr>
          <w:rFonts w:ascii="Times New Roman" w:hAnsi="Times New Roman" w:cs="Times New Roman"/>
          <w:sz w:val="24"/>
          <w:szCs w:val="24"/>
        </w:rPr>
        <w:t xml:space="preserve">The lack of definition of “other associations for the expression, fostering and development of their identity” is problematic here, not only because of the failure to specify limits on what Associations could cover but also because there is no expressed limitation on whether Serb-majority municipalities are equivalent to communities or individuals, and whether an association of governmental organizations could be joined in a non-governmental organization. </w:t>
      </w:r>
    </w:p>
    <w:p w:rsidR="00AE679D" w:rsidRPr="00890195" w:rsidRDefault="00AE679D" w:rsidP="00AE679D">
      <w:pPr>
        <w:spacing w:line="240" w:lineRule="auto"/>
        <w:jc w:val="both"/>
        <w:rPr>
          <w:rFonts w:ascii="Times New Roman" w:hAnsi="Times New Roman" w:cs="Times New Roman"/>
          <w:b/>
          <w:sz w:val="24"/>
          <w:szCs w:val="24"/>
        </w:rPr>
      </w:pPr>
      <w:r w:rsidRPr="00890195">
        <w:rPr>
          <w:rFonts w:ascii="Times New Roman" w:hAnsi="Times New Roman" w:cs="Times New Roman"/>
          <w:b/>
          <w:sz w:val="24"/>
          <w:szCs w:val="24"/>
        </w:rPr>
        <w:t xml:space="preserve">The Right to Local Self-Governance </w:t>
      </w:r>
    </w:p>
    <w:p w:rsidR="001B7636" w:rsidRDefault="00B57E24" w:rsidP="00AE679D">
      <w:pPr>
        <w:spacing w:line="240" w:lineRule="auto"/>
        <w:jc w:val="both"/>
        <w:rPr>
          <w:rFonts w:ascii="Times New Roman" w:hAnsi="Times New Roman" w:cs="Times New Roman"/>
          <w:sz w:val="24"/>
          <w:szCs w:val="24"/>
        </w:rPr>
      </w:pPr>
      <w:r>
        <w:rPr>
          <w:rFonts w:ascii="Times New Roman" w:hAnsi="Times New Roman" w:cs="Times New Roman"/>
          <w:sz w:val="24"/>
          <w:szCs w:val="24"/>
        </w:rPr>
        <w:t>Kosovo’s Constitution, and the status settlement proposal that preceded it, commits to “local self-governance” in a way that implies not only that governance would be decentralized, but also that disparate communities would have the space to govern themselves. The commitment to local self-governance is important to the discussion of the constitutionality of the proposed Association. The</w:t>
      </w:r>
      <w:r w:rsidR="000204C9">
        <w:rPr>
          <w:rFonts w:ascii="Times New Roman" w:hAnsi="Times New Roman" w:cs="Times New Roman"/>
          <w:sz w:val="24"/>
          <w:szCs w:val="24"/>
        </w:rPr>
        <w:t xml:space="preserve"> Constitution </w:t>
      </w:r>
      <w:r w:rsidR="001663D7">
        <w:rPr>
          <w:rFonts w:ascii="Times New Roman" w:hAnsi="Times New Roman" w:cs="Times New Roman"/>
          <w:sz w:val="24"/>
          <w:szCs w:val="24"/>
        </w:rPr>
        <w:t xml:space="preserve">incorporates the European Charter on Local Governance explicitly, </w:t>
      </w:r>
      <w:r w:rsidR="00890195">
        <w:rPr>
          <w:rFonts w:ascii="Times New Roman" w:hAnsi="Times New Roman" w:cs="Times New Roman"/>
          <w:sz w:val="24"/>
          <w:szCs w:val="24"/>
        </w:rPr>
        <w:t>based</w:t>
      </w:r>
      <w:r w:rsidR="001663D7">
        <w:rPr>
          <w:rFonts w:ascii="Times New Roman" w:hAnsi="Times New Roman" w:cs="Times New Roman"/>
          <w:sz w:val="24"/>
          <w:szCs w:val="24"/>
        </w:rPr>
        <w:t xml:space="preserve"> on the principle of subsidiarity. </w:t>
      </w:r>
      <w:r w:rsidR="001B7636">
        <w:rPr>
          <w:rFonts w:ascii="Times New Roman" w:hAnsi="Times New Roman" w:cs="Times New Roman"/>
          <w:sz w:val="24"/>
          <w:szCs w:val="24"/>
        </w:rPr>
        <w:t>The</w:t>
      </w:r>
      <w:r w:rsidR="001663D7">
        <w:rPr>
          <w:rFonts w:ascii="Times New Roman" w:hAnsi="Times New Roman" w:cs="Times New Roman"/>
          <w:sz w:val="24"/>
          <w:szCs w:val="24"/>
        </w:rPr>
        <w:t xml:space="preserve"> </w:t>
      </w:r>
      <w:r>
        <w:rPr>
          <w:rFonts w:ascii="Times New Roman" w:hAnsi="Times New Roman" w:cs="Times New Roman"/>
          <w:sz w:val="24"/>
          <w:szCs w:val="24"/>
        </w:rPr>
        <w:t>concept</w:t>
      </w:r>
      <w:r w:rsidR="001663D7">
        <w:rPr>
          <w:rFonts w:ascii="Times New Roman" w:hAnsi="Times New Roman" w:cs="Times New Roman"/>
          <w:sz w:val="24"/>
          <w:szCs w:val="24"/>
        </w:rPr>
        <w:t xml:space="preserve"> of subsidiarity in the EU has occurred through the decentralization of a central power</w:t>
      </w:r>
      <w:r w:rsidR="001B7636">
        <w:rPr>
          <w:rFonts w:ascii="Times New Roman" w:hAnsi="Times New Roman" w:cs="Times New Roman"/>
          <w:sz w:val="24"/>
          <w:szCs w:val="24"/>
        </w:rPr>
        <w:t xml:space="preserve"> in consolidated democracies</w:t>
      </w:r>
      <w:r w:rsidR="004A2E9B">
        <w:rPr>
          <w:rFonts w:ascii="Times New Roman" w:hAnsi="Times New Roman" w:cs="Times New Roman"/>
          <w:sz w:val="24"/>
          <w:szCs w:val="24"/>
        </w:rPr>
        <w:t>, in a shift from statism to federalism</w:t>
      </w:r>
      <w:r w:rsidR="001B7636">
        <w:rPr>
          <w:rFonts w:ascii="Times New Roman" w:hAnsi="Times New Roman" w:cs="Times New Roman"/>
          <w:sz w:val="24"/>
          <w:szCs w:val="24"/>
        </w:rPr>
        <w:t>.</w:t>
      </w:r>
      <w:r w:rsidR="004A2E9B">
        <w:rPr>
          <w:rStyle w:val="FootnoteReference"/>
          <w:rFonts w:ascii="Times New Roman" w:hAnsi="Times New Roman" w:cs="Times New Roman"/>
          <w:sz w:val="24"/>
          <w:szCs w:val="24"/>
        </w:rPr>
        <w:footnoteReference w:id="5"/>
      </w:r>
      <w:r w:rsidR="001B7636">
        <w:rPr>
          <w:rFonts w:ascii="Times New Roman" w:hAnsi="Times New Roman" w:cs="Times New Roman"/>
          <w:sz w:val="24"/>
          <w:szCs w:val="24"/>
        </w:rPr>
        <w:t xml:space="preserve"> No such history exists in Kosovo</w:t>
      </w:r>
      <w:r w:rsidR="00C30297">
        <w:rPr>
          <w:rFonts w:ascii="Times New Roman" w:hAnsi="Times New Roman" w:cs="Times New Roman"/>
          <w:sz w:val="24"/>
          <w:szCs w:val="24"/>
        </w:rPr>
        <w:t xml:space="preserve">, where no national identity existed previously, and </w:t>
      </w:r>
      <w:r w:rsidR="000A036E">
        <w:rPr>
          <w:rFonts w:ascii="Times New Roman" w:hAnsi="Times New Roman" w:cs="Times New Roman"/>
          <w:sz w:val="24"/>
          <w:szCs w:val="24"/>
        </w:rPr>
        <w:t>where there is little willingness to share sovereignty with another level of government. As such, Kosovo does</w:t>
      </w:r>
      <w:r w:rsidR="001B7636">
        <w:rPr>
          <w:rFonts w:ascii="Times New Roman" w:hAnsi="Times New Roman" w:cs="Times New Roman"/>
          <w:sz w:val="24"/>
          <w:szCs w:val="24"/>
        </w:rPr>
        <w:t xml:space="preserve"> </w:t>
      </w:r>
      <w:r w:rsidR="000A036E">
        <w:rPr>
          <w:rFonts w:ascii="Times New Roman" w:hAnsi="Times New Roman" w:cs="Times New Roman"/>
          <w:sz w:val="24"/>
          <w:szCs w:val="24"/>
        </w:rPr>
        <w:t xml:space="preserve">not </w:t>
      </w:r>
      <w:r w:rsidR="001B7636">
        <w:rPr>
          <w:rFonts w:ascii="Times New Roman" w:hAnsi="Times New Roman" w:cs="Times New Roman"/>
          <w:sz w:val="24"/>
          <w:szCs w:val="24"/>
        </w:rPr>
        <w:t>lend i</w:t>
      </w:r>
      <w:r>
        <w:rPr>
          <w:rFonts w:ascii="Times New Roman" w:hAnsi="Times New Roman" w:cs="Times New Roman"/>
          <w:sz w:val="24"/>
          <w:szCs w:val="24"/>
        </w:rPr>
        <w:t>tself to a willing, functional f</w:t>
      </w:r>
      <w:r w:rsidR="001B7636">
        <w:rPr>
          <w:rFonts w:ascii="Times New Roman" w:hAnsi="Times New Roman" w:cs="Times New Roman"/>
          <w:sz w:val="24"/>
          <w:szCs w:val="24"/>
        </w:rPr>
        <w:t>ederation of communities.</w:t>
      </w:r>
      <w:r w:rsidR="001B7636">
        <w:rPr>
          <w:rStyle w:val="FootnoteReference"/>
          <w:rFonts w:ascii="Times New Roman" w:hAnsi="Times New Roman" w:cs="Times New Roman"/>
          <w:sz w:val="24"/>
          <w:szCs w:val="24"/>
        </w:rPr>
        <w:footnoteReference w:id="6"/>
      </w:r>
      <w:r w:rsidR="001B7636">
        <w:rPr>
          <w:rFonts w:ascii="Times New Roman" w:hAnsi="Times New Roman" w:cs="Times New Roman"/>
          <w:sz w:val="24"/>
          <w:szCs w:val="24"/>
        </w:rPr>
        <w:t xml:space="preserve"> </w:t>
      </w:r>
      <w:r w:rsidR="0097440B">
        <w:rPr>
          <w:rFonts w:ascii="Times New Roman" w:hAnsi="Times New Roman" w:cs="Times New Roman"/>
          <w:sz w:val="24"/>
          <w:szCs w:val="24"/>
        </w:rPr>
        <w:t xml:space="preserve">The commitment to local self-governance is made more complex given </w:t>
      </w:r>
      <w:r>
        <w:rPr>
          <w:rFonts w:ascii="Times New Roman" w:hAnsi="Times New Roman" w:cs="Times New Roman"/>
          <w:sz w:val="24"/>
          <w:szCs w:val="24"/>
        </w:rPr>
        <w:t xml:space="preserve">the expressed interest of the Constitution to avoid a federal conceptualization of the state. In this </w:t>
      </w:r>
      <w:r>
        <w:rPr>
          <w:rFonts w:ascii="Times New Roman" w:hAnsi="Times New Roman" w:cs="Times New Roman"/>
          <w:sz w:val="24"/>
          <w:szCs w:val="24"/>
        </w:rPr>
        <w:lastRenderedPageBreak/>
        <w:t xml:space="preserve">sense, the commitment to subsidiarity as expressed in Kosovo’s Constitution could best be clarified not by the use of subsidiarity as it is understood in modern Europe, but on more basic understanding of subsidiary forms of government that </w:t>
      </w:r>
      <w:r w:rsidR="00BD6DE0">
        <w:rPr>
          <w:rFonts w:ascii="Times New Roman" w:hAnsi="Times New Roman" w:cs="Times New Roman"/>
          <w:sz w:val="24"/>
          <w:szCs w:val="24"/>
        </w:rPr>
        <w:t xml:space="preserve">relates to self-sufficient </w:t>
      </w:r>
      <w:r w:rsidR="00BD6DE0" w:rsidRPr="00BD6DE0">
        <w:rPr>
          <w:rFonts w:ascii="Times New Roman" w:hAnsi="Times New Roman" w:cs="Times New Roman"/>
          <w:i/>
          <w:sz w:val="24"/>
          <w:szCs w:val="24"/>
        </w:rPr>
        <w:t>polis</w:t>
      </w:r>
      <w:r w:rsidR="00BD6DE0">
        <w:rPr>
          <w:rFonts w:ascii="Times New Roman" w:hAnsi="Times New Roman" w:cs="Times New Roman"/>
          <w:sz w:val="24"/>
          <w:szCs w:val="24"/>
        </w:rPr>
        <w:t xml:space="preserve"> in the framework of larger governance structures.</w:t>
      </w:r>
      <w:r w:rsidR="00BD6DE0">
        <w:rPr>
          <w:rStyle w:val="FootnoteReference"/>
          <w:rFonts w:ascii="Times New Roman" w:hAnsi="Times New Roman" w:cs="Times New Roman"/>
          <w:sz w:val="24"/>
          <w:szCs w:val="24"/>
        </w:rPr>
        <w:footnoteReference w:id="7"/>
      </w:r>
    </w:p>
    <w:p w:rsidR="00AE679D" w:rsidRPr="00890195" w:rsidRDefault="00AE679D" w:rsidP="00AE679D">
      <w:pPr>
        <w:spacing w:line="240" w:lineRule="auto"/>
        <w:jc w:val="both"/>
        <w:rPr>
          <w:rFonts w:ascii="Times New Roman" w:hAnsi="Times New Roman" w:cs="Times New Roman"/>
          <w:b/>
          <w:sz w:val="24"/>
          <w:szCs w:val="24"/>
        </w:rPr>
      </w:pPr>
      <w:r w:rsidRPr="00890195">
        <w:rPr>
          <w:rFonts w:ascii="Times New Roman" w:hAnsi="Times New Roman" w:cs="Times New Roman"/>
          <w:b/>
          <w:sz w:val="24"/>
          <w:szCs w:val="24"/>
        </w:rPr>
        <w:t xml:space="preserve">Freedom of Association </w:t>
      </w:r>
    </w:p>
    <w:p w:rsidR="00485EF5" w:rsidRPr="00B601DE" w:rsidRDefault="00890195" w:rsidP="00B601DE">
      <w:pPr>
        <w:spacing w:line="240" w:lineRule="auto"/>
        <w:jc w:val="both"/>
        <w:rPr>
          <w:rFonts w:ascii="Times New Roman" w:hAnsi="Times New Roman" w:cs="Times New Roman"/>
          <w:sz w:val="24"/>
          <w:szCs w:val="24"/>
        </w:rPr>
      </w:pPr>
      <w:r>
        <w:rPr>
          <w:rFonts w:ascii="Times New Roman" w:hAnsi="Times New Roman" w:cs="Times New Roman"/>
          <w:sz w:val="24"/>
          <w:szCs w:val="24"/>
        </w:rPr>
        <w:t>The Freedom of Association is provided for in Kosovo’s Constitution.</w:t>
      </w:r>
      <w:r w:rsidR="00481E6C">
        <w:rPr>
          <w:rFonts w:ascii="Times New Roman" w:hAnsi="Times New Roman" w:cs="Times New Roman"/>
          <w:sz w:val="24"/>
          <w:szCs w:val="24"/>
        </w:rPr>
        <w:t xml:space="preserve"> Making matters more complex, the terminology in </w:t>
      </w:r>
      <w:r w:rsidR="00B601DE">
        <w:rPr>
          <w:rFonts w:ascii="Times New Roman" w:hAnsi="Times New Roman" w:cs="Times New Roman"/>
          <w:sz w:val="24"/>
          <w:szCs w:val="24"/>
        </w:rPr>
        <w:t xml:space="preserve">Albanian and Serbian </w:t>
      </w:r>
      <w:r w:rsidR="00481E6C">
        <w:rPr>
          <w:rFonts w:ascii="Times New Roman" w:hAnsi="Times New Roman" w:cs="Times New Roman"/>
          <w:sz w:val="24"/>
          <w:szCs w:val="24"/>
        </w:rPr>
        <w:t>colloquial language is understood as “Community” as well as “Association” which understandably clouds discussion of what the nature of an association would be, in terms of its</w:t>
      </w:r>
      <w:r w:rsidR="00B601DE">
        <w:rPr>
          <w:rFonts w:ascii="Times New Roman" w:hAnsi="Times New Roman" w:cs="Times New Roman"/>
          <w:sz w:val="24"/>
          <w:szCs w:val="24"/>
        </w:rPr>
        <w:t xml:space="preserve"> identification as a community and</w:t>
      </w:r>
      <w:r w:rsidR="00481E6C">
        <w:rPr>
          <w:rFonts w:ascii="Times New Roman" w:hAnsi="Times New Roman" w:cs="Times New Roman"/>
          <w:sz w:val="24"/>
          <w:szCs w:val="24"/>
        </w:rPr>
        <w:t xml:space="preserve"> potential </w:t>
      </w:r>
      <w:r w:rsidR="00B601DE">
        <w:rPr>
          <w:rFonts w:ascii="Times New Roman" w:hAnsi="Times New Roman" w:cs="Times New Roman"/>
          <w:sz w:val="24"/>
          <w:szCs w:val="24"/>
        </w:rPr>
        <w:t xml:space="preserve">to </w:t>
      </w:r>
      <w:r w:rsidR="00481E6C">
        <w:rPr>
          <w:rFonts w:ascii="Times New Roman" w:hAnsi="Times New Roman" w:cs="Times New Roman"/>
          <w:sz w:val="24"/>
          <w:szCs w:val="24"/>
        </w:rPr>
        <w:t>threat</w:t>
      </w:r>
      <w:r w:rsidR="00B601DE">
        <w:rPr>
          <w:rFonts w:ascii="Times New Roman" w:hAnsi="Times New Roman" w:cs="Times New Roman"/>
          <w:sz w:val="24"/>
          <w:szCs w:val="24"/>
        </w:rPr>
        <w:t>en</w:t>
      </w:r>
      <w:r w:rsidR="00481E6C">
        <w:rPr>
          <w:rFonts w:ascii="Times New Roman" w:hAnsi="Times New Roman" w:cs="Times New Roman"/>
          <w:sz w:val="24"/>
          <w:szCs w:val="24"/>
        </w:rPr>
        <w:t xml:space="preserve"> sovereignty.</w:t>
      </w:r>
      <w:r w:rsidR="00B601DE">
        <w:rPr>
          <w:rFonts w:ascii="Times New Roman" w:hAnsi="Times New Roman" w:cs="Times New Roman"/>
          <w:sz w:val="24"/>
          <w:szCs w:val="24"/>
        </w:rPr>
        <w:t xml:space="preserve"> While</w:t>
      </w:r>
      <w:r w:rsidR="00350532">
        <w:rPr>
          <w:rFonts w:ascii="Times New Roman" w:hAnsi="Times New Roman" w:cs="Times New Roman"/>
          <w:sz w:val="24"/>
          <w:szCs w:val="24"/>
        </w:rPr>
        <w:t xml:space="preserve"> Freedom of Association </w:t>
      </w:r>
      <w:r w:rsidR="00090737">
        <w:rPr>
          <w:rFonts w:ascii="Times New Roman" w:hAnsi="Times New Roman" w:cs="Times New Roman"/>
          <w:sz w:val="24"/>
          <w:szCs w:val="24"/>
        </w:rPr>
        <w:t>is expressed as the right of everyone to establish an organization without obtaining any permission, to be or not to be a member of any organization and to participate in the activities of an organization</w:t>
      </w:r>
      <w:r w:rsidR="00B601DE">
        <w:rPr>
          <w:rFonts w:ascii="Times New Roman" w:hAnsi="Times New Roman" w:cs="Times New Roman"/>
          <w:sz w:val="24"/>
          <w:szCs w:val="24"/>
        </w:rPr>
        <w:t>, there are certain limitations</w:t>
      </w:r>
      <w:r w:rsidR="00090737">
        <w:rPr>
          <w:rFonts w:ascii="Times New Roman" w:hAnsi="Times New Roman" w:cs="Times New Roman"/>
          <w:sz w:val="24"/>
          <w:szCs w:val="24"/>
        </w:rPr>
        <w:t xml:space="preserve">. </w:t>
      </w:r>
      <w:r w:rsidR="00B601DE">
        <w:rPr>
          <w:rFonts w:ascii="Times New Roman" w:hAnsi="Times New Roman" w:cs="Times New Roman"/>
          <w:sz w:val="24"/>
          <w:szCs w:val="24"/>
        </w:rPr>
        <w:t xml:space="preserve">If the purpose of the organization or its activities can be deemed to infringe upon the constitutional order or is seen to encourage racial, national, ethnic or religious hatred, the organization may be prohibited. </w:t>
      </w:r>
      <w:r w:rsidR="00481E6C">
        <w:rPr>
          <w:rFonts w:ascii="Times New Roman" w:hAnsi="Times New Roman" w:cs="Times New Roman"/>
          <w:sz w:val="24"/>
          <w:szCs w:val="24"/>
        </w:rPr>
        <w:t>‘Non-governmental’ is</w:t>
      </w:r>
      <w:r w:rsidR="00090737">
        <w:rPr>
          <w:rFonts w:ascii="Times New Roman" w:hAnsi="Times New Roman" w:cs="Times New Roman"/>
          <w:sz w:val="24"/>
          <w:szCs w:val="24"/>
        </w:rPr>
        <w:t xml:space="preserve"> </w:t>
      </w:r>
      <w:r w:rsidR="00481E6C">
        <w:rPr>
          <w:rFonts w:ascii="Times New Roman" w:hAnsi="Times New Roman" w:cs="Times New Roman"/>
          <w:sz w:val="24"/>
          <w:szCs w:val="24"/>
        </w:rPr>
        <w:t>t</w:t>
      </w:r>
      <w:r w:rsidR="00B601DE">
        <w:rPr>
          <w:rFonts w:ascii="Times New Roman" w:hAnsi="Times New Roman" w:cs="Times New Roman"/>
          <w:sz w:val="24"/>
          <w:szCs w:val="24"/>
        </w:rPr>
        <w:t>he operative term—a non-governmental organization of members of Serb-majority communities could associate with minimal impact to governance, and this</w:t>
      </w:r>
      <w:r w:rsidR="00481E6C">
        <w:rPr>
          <w:rFonts w:ascii="Times New Roman" w:hAnsi="Times New Roman" w:cs="Times New Roman"/>
          <w:sz w:val="24"/>
          <w:szCs w:val="24"/>
        </w:rPr>
        <w:t xml:space="preserve"> a key missing piece in the conceptualization of the Association that could be clarified by constitutional review. To remain within the bounds of constitutional order, the Association must be non-governmental in nature</w:t>
      </w:r>
      <w:r w:rsidR="00B601DE">
        <w:rPr>
          <w:rFonts w:ascii="Times New Roman" w:hAnsi="Times New Roman" w:cs="Times New Roman"/>
          <w:sz w:val="24"/>
          <w:szCs w:val="24"/>
        </w:rPr>
        <w:t>, and this is a piece of the puzzle that the Constitutional Court could clarify that would enhance understanding of the intended aims and constraints of the association.</w:t>
      </w:r>
    </w:p>
    <w:p w:rsidR="00485EF5" w:rsidRPr="00E81770" w:rsidRDefault="00E81770" w:rsidP="00AE679D">
      <w:pPr>
        <w:spacing w:line="240" w:lineRule="auto"/>
        <w:jc w:val="both"/>
        <w:rPr>
          <w:rFonts w:ascii="Times New Roman" w:hAnsi="Times New Roman" w:cs="Times New Roman"/>
          <w:b/>
          <w:sz w:val="24"/>
          <w:szCs w:val="24"/>
        </w:rPr>
      </w:pPr>
      <w:r w:rsidRPr="00E81770">
        <w:rPr>
          <w:rFonts w:ascii="Times New Roman" w:hAnsi="Times New Roman" w:cs="Times New Roman"/>
          <w:b/>
          <w:sz w:val="24"/>
          <w:szCs w:val="24"/>
        </w:rPr>
        <w:t>Constitutional Court</w:t>
      </w:r>
      <w:r>
        <w:rPr>
          <w:rFonts w:ascii="Times New Roman" w:hAnsi="Times New Roman" w:cs="Times New Roman"/>
          <w:b/>
          <w:sz w:val="24"/>
          <w:szCs w:val="24"/>
        </w:rPr>
        <w:t>: A Balancing Act</w:t>
      </w:r>
    </w:p>
    <w:p w:rsidR="002F1593" w:rsidRDefault="002F1593" w:rsidP="00AE679D">
      <w:pPr>
        <w:spacing w:line="240" w:lineRule="auto"/>
        <w:jc w:val="both"/>
        <w:rPr>
          <w:rFonts w:ascii="Times New Roman" w:hAnsi="Times New Roman" w:cs="Times New Roman"/>
          <w:sz w:val="24"/>
          <w:szCs w:val="24"/>
        </w:rPr>
      </w:pPr>
      <w:r w:rsidRPr="00200707">
        <w:rPr>
          <w:rFonts w:ascii="Times New Roman" w:hAnsi="Times New Roman" w:cs="Times New Roman"/>
          <w:sz w:val="24"/>
          <w:szCs w:val="24"/>
        </w:rPr>
        <w:t>In its review of the constitutionality of the proposed Association, the Constitutional Court must weigh the content of the agreement on the Association</w:t>
      </w:r>
      <w:r w:rsidR="00200707" w:rsidRPr="00200707">
        <w:rPr>
          <w:rFonts w:ascii="Times New Roman" w:hAnsi="Times New Roman" w:cs="Times New Roman"/>
          <w:sz w:val="24"/>
          <w:szCs w:val="24"/>
        </w:rPr>
        <w:t xml:space="preserve">, </w:t>
      </w:r>
      <w:r w:rsidRPr="00200707">
        <w:rPr>
          <w:rFonts w:ascii="Times New Roman" w:hAnsi="Times New Roman" w:cs="Times New Roman"/>
          <w:sz w:val="24"/>
          <w:szCs w:val="24"/>
        </w:rPr>
        <w:t xml:space="preserve">the content of the legislation proposed, </w:t>
      </w:r>
      <w:r w:rsidR="00200707" w:rsidRPr="00200707">
        <w:rPr>
          <w:rFonts w:ascii="Times New Roman" w:hAnsi="Times New Roman" w:cs="Times New Roman"/>
          <w:sz w:val="24"/>
          <w:szCs w:val="24"/>
        </w:rPr>
        <w:t>and the provisions set forth in Kosovo’s Constitution which clearly allow for the Association as an expression of the rights of minority community and their members, the rights to local self-governance, and the freedom of association. The Court can serve an added benefit to understanding of the Association by clarifying both the extent to which governmental bodies (municipalities) are afforded the same rights as minorities as individuals, and the extent to which an association, even of municipalities, must remain non-governmental. Further, the Constitutional Court could express the limits to the purview of the Association which would clarify what activities would be considered within the constitutional order and what would be seen as an infringement, in accordance with the limits to freedom of association</w:t>
      </w:r>
      <w:r w:rsidR="00833C4F">
        <w:rPr>
          <w:rFonts w:ascii="Times New Roman" w:hAnsi="Times New Roman" w:cs="Times New Roman"/>
          <w:sz w:val="24"/>
          <w:szCs w:val="24"/>
        </w:rPr>
        <w:t xml:space="preserve"> set forth in the Constitution. With principled reason, the limits to the Assoc</w:t>
      </w:r>
      <w:r w:rsidR="00983119">
        <w:rPr>
          <w:rFonts w:ascii="Times New Roman" w:hAnsi="Times New Roman" w:cs="Times New Roman"/>
          <w:sz w:val="24"/>
          <w:szCs w:val="24"/>
        </w:rPr>
        <w:t>iation would have the effect of</w:t>
      </w:r>
      <w:r w:rsidR="00833C4F">
        <w:rPr>
          <w:rFonts w:ascii="Times New Roman" w:hAnsi="Times New Roman" w:cs="Times New Roman"/>
          <w:sz w:val="24"/>
          <w:szCs w:val="24"/>
        </w:rPr>
        <w:t xml:space="preserve"> inhibiting potential future changes in the character of the Association that could allay fears that the Association is a s</w:t>
      </w:r>
      <w:r w:rsidR="00983119">
        <w:rPr>
          <w:rFonts w:ascii="Times New Roman" w:hAnsi="Times New Roman" w:cs="Times New Roman"/>
          <w:sz w:val="24"/>
          <w:szCs w:val="24"/>
        </w:rPr>
        <w:t>tep toward loss of sovereignty.</w:t>
      </w:r>
    </w:p>
    <w:p w:rsidR="00200707" w:rsidRPr="00833C4F" w:rsidRDefault="00833C4F" w:rsidP="00AE679D">
      <w:pPr>
        <w:spacing w:line="240" w:lineRule="auto"/>
        <w:jc w:val="both"/>
        <w:rPr>
          <w:rFonts w:ascii="Times New Roman" w:hAnsi="Times New Roman" w:cs="Times New Roman"/>
          <w:sz w:val="24"/>
          <w:szCs w:val="24"/>
        </w:rPr>
      </w:pPr>
      <w:r w:rsidRPr="00833C4F">
        <w:rPr>
          <w:rFonts w:ascii="Times New Roman" w:hAnsi="Times New Roman" w:cs="Times New Roman"/>
          <w:sz w:val="24"/>
          <w:szCs w:val="24"/>
        </w:rPr>
        <w:t xml:space="preserve">Former Justice of the Supreme Court of Israel, Aharon Barak, states that Proportionality creates a conceptual framework in which to define the appropriate relationship between human rights and considerations that may justify their </w:t>
      </w:r>
      <w:r w:rsidR="003C3F0E">
        <w:rPr>
          <w:rFonts w:ascii="Times New Roman" w:hAnsi="Times New Roman" w:cs="Times New Roman"/>
          <w:sz w:val="24"/>
          <w:szCs w:val="24"/>
        </w:rPr>
        <w:t>limitation.</w:t>
      </w:r>
      <w:r w:rsidRPr="00833C4F">
        <w:rPr>
          <w:rStyle w:val="FootnoteReference"/>
          <w:rFonts w:ascii="Times New Roman" w:hAnsi="Times New Roman" w:cs="Times New Roman"/>
          <w:sz w:val="24"/>
          <w:szCs w:val="24"/>
        </w:rPr>
        <w:footnoteReference w:id="8"/>
      </w:r>
    </w:p>
    <w:p w:rsidR="002F1593" w:rsidRDefault="002F1593" w:rsidP="00AE679D">
      <w:pPr>
        <w:spacing w:line="240" w:lineRule="auto"/>
        <w:jc w:val="both"/>
        <w:rPr>
          <w:rFonts w:ascii="Times New Roman" w:hAnsi="Times New Roman" w:cs="Times New Roman"/>
          <w:sz w:val="24"/>
          <w:szCs w:val="24"/>
        </w:rPr>
      </w:pPr>
      <w:r w:rsidRPr="00C30297">
        <w:rPr>
          <w:rFonts w:ascii="Times New Roman" w:hAnsi="Times New Roman" w:cs="Times New Roman"/>
          <w:sz w:val="24"/>
          <w:szCs w:val="24"/>
        </w:rPr>
        <w:lastRenderedPageBreak/>
        <w:t>Paul B</w:t>
      </w:r>
      <w:r w:rsidR="00983119">
        <w:rPr>
          <w:rFonts w:ascii="Times New Roman" w:hAnsi="Times New Roman" w:cs="Times New Roman"/>
          <w:sz w:val="24"/>
          <w:szCs w:val="24"/>
        </w:rPr>
        <w:t>l</w:t>
      </w:r>
      <w:r w:rsidRPr="00C30297">
        <w:rPr>
          <w:rFonts w:ascii="Times New Roman" w:hAnsi="Times New Roman" w:cs="Times New Roman"/>
          <w:sz w:val="24"/>
          <w:szCs w:val="24"/>
        </w:rPr>
        <w:t>okker notes, that “One of the essential ideas behind the constitution is to c</w:t>
      </w:r>
      <w:bookmarkEnd w:id="0"/>
      <w:r w:rsidRPr="00C30297">
        <w:rPr>
          <w:rFonts w:ascii="Times New Roman" w:hAnsi="Times New Roman" w:cs="Times New Roman"/>
          <w:sz w:val="24"/>
          <w:szCs w:val="24"/>
        </w:rPr>
        <w:t>hannel the political will of citizens, or, in other words, to express popular sovereignty.”</w:t>
      </w:r>
      <w:r w:rsidR="00983119">
        <w:rPr>
          <w:rStyle w:val="FootnoteReference"/>
          <w:rFonts w:ascii="Times New Roman" w:hAnsi="Times New Roman" w:cs="Times New Roman"/>
          <w:sz w:val="24"/>
          <w:szCs w:val="24"/>
        </w:rPr>
        <w:footnoteReference w:id="9"/>
      </w:r>
      <w:r w:rsidRPr="00C30297">
        <w:rPr>
          <w:rFonts w:ascii="Times New Roman" w:hAnsi="Times New Roman" w:cs="Times New Roman"/>
          <w:sz w:val="24"/>
          <w:szCs w:val="24"/>
        </w:rPr>
        <w:t xml:space="preserve"> Because of the unique circumstances in which Kosovo’s Constitution came to be, the contents of the Constitution may be more of approximation than the actual will of the people. To be sure, the Constitution reflects as much input from outsiders as from the majority and minority groups that make up Kosovo’s Government and its citizens. To date, neither the legislature nor the executive branches of government have been able to shape consensus or to lead consensus-building</w:t>
      </w:r>
      <w:r>
        <w:rPr>
          <w:rFonts w:ascii="Times New Roman" w:hAnsi="Times New Roman" w:cs="Times New Roman"/>
          <w:sz w:val="24"/>
          <w:szCs w:val="24"/>
        </w:rPr>
        <w:t xml:space="preserve"> in the country</w:t>
      </w:r>
      <w:r w:rsidRPr="00C30297">
        <w:rPr>
          <w:rFonts w:ascii="Times New Roman" w:hAnsi="Times New Roman" w:cs="Times New Roman"/>
          <w:sz w:val="24"/>
          <w:szCs w:val="24"/>
        </w:rPr>
        <w:t xml:space="preserve">. The Constitutional Court, although an unelected body, is thus an effective venue from which the popular will can be </w:t>
      </w:r>
      <w:r w:rsidRPr="002F1593">
        <w:rPr>
          <w:rFonts w:ascii="Times New Roman" w:hAnsi="Times New Roman" w:cs="Times New Roman"/>
          <w:i/>
          <w:sz w:val="24"/>
          <w:szCs w:val="24"/>
        </w:rPr>
        <w:t>advanced</w:t>
      </w:r>
      <w:r w:rsidRPr="00C30297">
        <w:rPr>
          <w:rFonts w:ascii="Times New Roman" w:hAnsi="Times New Roman" w:cs="Times New Roman"/>
          <w:sz w:val="24"/>
          <w:szCs w:val="24"/>
        </w:rPr>
        <w:t>, if not fully expressed</w:t>
      </w:r>
      <w:r>
        <w:rPr>
          <w:rFonts w:ascii="Times New Roman" w:hAnsi="Times New Roman" w:cs="Times New Roman"/>
          <w:sz w:val="24"/>
          <w:szCs w:val="24"/>
        </w:rPr>
        <w:t xml:space="preserve"> without conditions</w:t>
      </w:r>
      <w:r w:rsidRPr="00C30297">
        <w:rPr>
          <w:rFonts w:ascii="Times New Roman" w:hAnsi="Times New Roman" w:cs="Times New Roman"/>
          <w:sz w:val="24"/>
          <w:szCs w:val="24"/>
        </w:rPr>
        <w:t xml:space="preserve">. As the Court strikes a balance between the constraints of international agreements, </w:t>
      </w:r>
      <w:r w:rsidR="00983119">
        <w:rPr>
          <w:rFonts w:ascii="Times New Roman" w:hAnsi="Times New Roman" w:cs="Times New Roman"/>
          <w:sz w:val="24"/>
          <w:szCs w:val="24"/>
        </w:rPr>
        <w:t xml:space="preserve">and  </w:t>
      </w:r>
      <w:r w:rsidRPr="00C30297">
        <w:rPr>
          <w:rFonts w:ascii="Times New Roman" w:hAnsi="Times New Roman" w:cs="Times New Roman"/>
          <w:sz w:val="24"/>
          <w:szCs w:val="24"/>
        </w:rPr>
        <w:t>the will of the people, it is exercising the sovereignty of the state in ways in which other branches of government have proven incapable to do.</w:t>
      </w:r>
    </w:p>
    <w:p w:rsidR="00FD70F8" w:rsidRDefault="0046276F" w:rsidP="002F159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not accidental that Kosovo’s President would refer a law to the Constitutional Court, particularly an important law that impacts Kosovo’s standing at home and abroad. The authority of the Constitutional Court to conduct constitutional judicial review, to assess and invalidate laws enacted by the legislature, is exercised regularly. Often, these laws or legislative actions are the result of international interventions that go against the grain of public sentiment, and ex ante review by the Constitutional Court </w:t>
      </w:r>
      <w:r w:rsidR="002F1593">
        <w:rPr>
          <w:rFonts w:ascii="Times New Roman" w:hAnsi="Times New Roman" w:cs="Times New Roman"/>
          <w:sz w:val="24"/>
          <w:szCs w:val="24"/>
        </w:rPr>
        <w:t>makes it possible, or at least p</w:t>
      </w:r>
      <w:r>
        <w:rPr>
          <w:rFonts w:ascii="Times New Roman" w:hAnsi="Times New Roman" w:cs="Times New Roman"/>
          <w:sz w:val="24"/>
          <w:szCs w:val="24"/>
        </w:rPr>
        <w:t xml:space="preserve">alatable, for politicians to accept or endorse laws in </w:t>
      </w:r>
      <w:r w:rsidR="002F1593">
        <w:rPr>
          <w:rFonts w:ascii="Times New Roman" w:hAnsi="Times New Roman" w:cs="Times New Roman"/>
          <w:sz w:val="24"/>
          <w:szCs w:val="24"/>
        </w:rPr>
        <w:t>times of turmoil</w:t>
      </w:r>
      <w:r>
        <w:rPr>
          <w:rFonts w:ascii="Times New Roman" w:hAnsi="Times New Roman" w:cs="Times New Roman"/>
          <w:sz w:val="24"/>
          <w:szCs w:val="24"/>
        </w:rPr>
        <w:t>. Just as often, the Court is called upon to act in a political vacuum, when weak political coalitions fall apart, fail to achieve quorum, or otherwise fail to observe Assembly procedure. Notab</w:t>
      </w:r>
      <w:r w:rsidR="002F1593">
        <w:rPr>
          <w:rFonts w:ascii="Times New Roman" w:hAnsi="Times New Roman" w:cs="Times New Roman"/>
          <w:sz w:val="24"/>
          <w:szCs w:val="24"/>
        </w:rPr>
        <w:t xml:space="preserve">ly, the judgements of the Court have removed two Presidents, even against the will of E.U. observers who are so vital to the country’s aspirations for a future in the Euro-Atlantic community. </w:t>
      </w:r>
      <w:r w:rsidR="000A036E">
        <w:rPr>
          <w:rFonts w:ascii="Times New Roman" w:hAnsi="Times New Roman" w:cs="Times New Roman"/>
          <w:sz w:val="24"/>
          <w:szCs w:val="24"/>
        </w:rPr>
        <w:t xml:space="preserve">While the legislature </w:t>
      </w:r>
      <w:r w:rsidR="002F1593">
        <w:rPr>
          <w:rFonts w:ascii="Times New Roman" w:hAnsi="Times New Roman" w:cs="Times New Roman"/>
          <w:sz w:val="24"/>
          <w:szCs w:val="24"/>
        </w:rPr>
        <w:t>has proven</w:t>
      </w:r>
      <w:r w:rsidR="000A036E">
        <w:rPr>
          <w:rFonts w:ascii="Times New Roman" w:hAnsi="Times New Roman" w:cs="Times New Roman"/>
          <w:sz w:val="24"/>
          <w:szCs w:val="24"/>
        </w:rPr>
        <w:t xml:space="preserve"> unable to achieve consensus among these groups, the C</w:t>
      </w:r>
      <w:r w:rsidR="002F1593">
        <w:rPr>
          <w:rFonts w:ascii="Times New Roman" w:hAnsi="Times New Roman" w:cs="Times New Roman"/>
          <w:sz w:val="24"/>
          <w:szCs w:val="24"/>
        </w:rPr>
        <w:t>onstitutional C</w:t>
      </w:r>
      <w:r w:rsidR="000A036E">
        <w:rPr>
          <w:rFonts w:ascii="Times New Roman" w:hAnsi="Times New Roman" w:cs="Times New Roman"/>
          <w:sz w:val="24"/>
          <w:szCs w:val="24"/>
        </w:rPr>
        <w:t>ourt has the opportunity to prove a stabilizing force</w:t>
      </w:r>
      <w:r w:rsidR="002F1593">
        <w:rPr>
          <w:rFonts w:ascii="Times New Roman" w:hAnsi="Times New Roman" w:cs="Times New Roman"/>
          <w:sz w:val="24"/>
          <w:szCs w:val="24"/>
        </w:rPr>
        <w:t>, particularly with a well-reasoned review of the Association, including the constitutional basis for it, and the limits of its character as a non-governmental organization</w:t>
      </w:r>
      <w:r w:rsidR="000A036E" w:rsidRPr="0097440B">
        <w:t>.</w:t>
      </w:r>
      <w:r>
        <w:t xml:space="preserve"> </w:t>
      </w:r>
      <w:r w:rsidR="00AE679D">
        <w:rPr>
          <w:rFonts w:ascii="Times New Roman" w:hAnsi="Times New Roman" w:cs="Times New Roman"/>
          <w:sz w:val="24"/>
          <w:szCs w:val="24"/>
        </w:rPr>
        <w:t>The Constitutional Court may look for a balance that may put limits the Association in a way that results in the least possible infringement on the freedom of association, while crafting</w:t>
      </w:r>
      <w:r w:rsidR="002F1593">
        <w:rPr>
          <w:rFonts w:ascii="Times New Roman" w:hAnsi="Times New Roman" w:cs="Times New Roman"/>
          <w:sz w:val="24"/>
          <w:szCs w:val="24"/>
        </w:rPr>
        <w:t xml:space="preserve"> a workable solution that makes it possible to </w:t>
      </w:r>
      <w:r w:rsidR="004755D9">
        <w:rPr>
          <w:rFonts w:ascii="Times New Roman" w:hAnsi="Times New Roman" w:cs="Times New Roman"/>
          <w:sz w:val="24"/>
          <w:szCs w:val="24"/>
        </w:rPr>
        <w:t>elevate political discourse and move closer towards the consolidation of democratic institutions, as have often been the work of Constitutional Courts in times of transition within Central and Eastern Europe.</w:t>
      </w:r>
      <w:r w:rsidR="004755D9">
        <w:rPr>
          <w:rStyle w:val="FootnoteReference"/>
          <w:rFonts w:ascii="Times New Roman" w:hAnsi="Times New Roman" w:cs="Times New Roman"/>
          <w:sz w:val="24"/>
          <w:szCs w:val="24"/>
        </w:rPr>
        <w:footnoteReference w:id="10"/>
      </w:r>
    </w:p>
    <w:p w:rsidR="00C30297" w:rsidRDefault="00C30297" w:rsidP="00AE679D">
      <w:pPr>
        <w:rPr>
          <w:rFonts w:ascii="Times New Roman" w:hAnsi="Times New Roman" w:cs="Times New Roman"/>
          <w:sz w:val="24"/>
          <w:szCs w:val="24"/>
        </w:rPr>
      </w:pPr>
    </w:p>
    <w:p w:rsidR="00C30297" w:rsidRDefault="00C30297" w:rsidP="00AE679D"/>
    <w:sectPr w:rsidR="00C30297" w:rsidSect="00062B4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82F" w:rsidRDefault="0012182F" w:rsidP="009C797B">
      <w:pPr>
        <w:spacing w:after="0" w:line="240" w:lineRule="auto"/>
      </w:pPr>
      <w:r>
        <w:separator/>
      </w:r>
    </w:p>
  </w:endnote>
  <w:endnote w:type="continuationSeparator" w:id="0">
    <w:p w:rsidR="0012182F" w:rsidRDefault="0012182F" w:rsidP="009C7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82F" w:rsidRDefault="0012182F" w:rsidP="009C797B">
      <w:pPr>
        <w:spacing w:after="0" w:line="240" w:lineRule="auto"/>
      </w:pPr>
      <w:r>
        <w:separator/>
      </w:r>
    </w:p>
  </w:footnote>
  <w:footnote w:type="continuationSeparator" w:id="0">
    <w:p w:rsidR="0012182F" w:rsidRDefault="0012182F" w:rsidP="009C797B">
      <w:pPr>
        <w:spacing w:after="0" w:line="240" w:lineRule="auto"/>
      </w:pPr>
      <w:r>
        <w:continuationSeparator/>
      </w:r>
    </w:p>
  </w:footnote>
  <w:footnote w:id="1">
    <w:p w:rsidR="00A857E6" w:rsidRPr="005C234C" w:rsidRDefault="00A857E6">
      <w:pPr>
        <w:pStyle w:val="FootnoteText"/>
        <w:rPr>
          <w:rFonts w:ascii="Times New Roman" w:hAnsi="Times New Roman" w:cs="Times New Roman"/>
          <w:sz w:val="18"/>
          <w:szCs w:val="18"/>
        </w:rPr>
      </w:pPr>
      <w:r w:rsidRPr="005C234C">
        <w:rPr>
          <w:rStyle w:val="FootnoteReference"/>
          <w:rFonts w:ascii="Times New Roman" w:hAnsi="Times New Roman" w:cs="Times New Roman"/>
          <w:sz w:val="18"/>
          <w:szCs w:val="18"/>
        </w:rPr>
        <w:footnoteRef/>
      </w:r>
      <w:r w:rsidRPr="005C234C">
        <w:rPr>
          <w:rFonts w:ascii="Times New Roman" w:hAnsi="Times New Roman" w:cs="Times New Roman"/>
          <w:sz w:val="18"/>
          <w:szCs w:val="18"/>
        </w:rPr>
        <w:t xml:space="preserve"> Sadurski, Wojciech, </w:t>
      </w:r>
      <w:r w:rsidRPr="005C234C">
        <w:rPr>
          <w:rFonts w:ascii="Times New Roman" w:hAnsi="Times New Roman" w:cs="Times New Roman"/>
          <w:i/>
          <w:sz w:val="18"/>
          <w:szCs w:val="18"/>
        </w:rPr>
        <w:t>Nationalism, Sovereignty and Human Rights in the Transitional Central and East European States After Democratic Revolutions of 1989 (October 2012),</w:t>
      </w:r>
      <w:r w:rsidRPr="005C234C">
        <w:rPr>
          <w:rFonts w:ascii="Times New Roman" w:hAnsi="Times New Roman" w:cs="Times New Roman"/>
          <w:sz w:val="18"/>
          <w:szCs w:val="18"/>
        </w:rPr>
        <w:t xml:space="preserve"> Page 3, </w:t>
      </w:r>
      <w:r w:rsidRPr="005C234C">
        <w:rPr>
          <w:rFonts w:ascii="Times New Roman" w:hAnsi="Times New Roman" w:cs="Times New Roman"/>
          <w:i/>
          <w:sz w:val="18"/>
          <w:szCs w:val="18"/>
        </w:rPr>
        <w:t>Sovereignty Conundrum</w:t>
      </w:r>
      <w:r w:rsidRPr="005C234C">
        <w:rPr>
          <w:rFonts w:ascii="Times New Roman" w:hAnsi="Times New Roman" w:cs="Times New Roman"/>
          <w:sz w:val="18"/>
          <w:szCs w:val="18"/>
        </w:rPr>
        <w:t>. Sydney Law School Research Paper No. 12/79. </w:t>
      </w:r>
    </w:p>
  </w:footnote>
  <w:footnote w:id="2">
    <w:p w:rsidR="009C797B" w:rsidRDefault="009C797B">
      <w:pPr>
        <w:pStyle w:val="FootnoteText"/>
      </w:pPr>
      <w:r w:rsidRPr="005C234C">
        <w:rPr>
          <w:rStyle w:val="FootnoteReference"/>
          <w:rFonts w:ascii="Times New Roman" w:hAnsi="Times New Roman" w:cs="Times New Roman"/>
          <w:sz w:val="18"/>
          <w:szCs w:val="18"/>
        </w:rPr>
        <w:footnoteRef/>
      </w:r>
      <w:r w:rsidRPr="005C234C">
        <w:rPr>
          <w:rFonts w:ascii="Times New Roman" w:hAnsi="Times New Roman" w:cs="Times New Roman"/>
          <w:sz w:val="18"/>
          <w:szCs w:val="18"/>
        </w:rPr>
        <w:t xml:space="preserve"> Comprehensive Settlement Proposal (2007). Marti Ahtisaari.</w:t>
      </w:r>
      <w:r>
        <w:t xml:space="preserve"> </w:t>
      </w:r>
    </w:p>
  </w:footnote>
  <w:footnote w:id="3">
    <w:p w:rsidR="002844D2" w:rsidRPr="005C234C" w:rsidRDefault="002844D2">
      <w:pPr>
        <w:pStyle w:val="FootnoteText"/>
        <w:rPr>
          <w:rFonts w:ascii="Times New Roman" w:hAnsi="Times New Roman" w:cs="Times New Roman"/>
          <w:sz w:val="18"/>
          <w:szCs w:val="18"/>
        </w:rPr>
      </w:pPr>
      <w:r w:rsidRPr="005C234C">
        <w:rPr>
          <w:rStyle w:val="FootnoteReference"/>
          <w:rFonts w:ascii="Times New Roman" w:hAnsi="Times New Roman" w:cs="Times New Roman"/>
          <w:sz w:val="18"/>
          <w:szCs w:val="18"/>
        </w:rPr>
        <w:footnoteRef/>
      </w:r>
      <w:r w:rsidRPr="005C234C">
        <w:rPr>
          <w:rFonts w:ascii="Times New Roman" w:hAnsi="Times New Roman" w:cs="Times New Roman"/>
          <w:sz w:val="18"/>
          <w:szCs w:val="18"/>
        </w:rPr>
        <w:t xml:space="preserve"> Constitution of the Republic of Kosovo, Chapter 1 Basic Provisions, Article 3.2, Equality before the law.</w:t>
      </w:r>
    </w:p>
  </w:footnote>
  <w:footnote w:id="4">
    <w:p w:rsidR="00E81770" w:rsidRPr="005C234C" w:rsidRDefault="00E81770">
      <w:pPr>
        <w:pStyle w:val="FootnoteText"/>
        <w:rPr>
          <w:rFonts w:ascii="Times New Roman" w:hAnsi="Times New Roman" w:cs="Times New Roman"/>
          <w:sz w:val="18"/>
          <w:szCs w:val="18"/>
        </w:rPr>
      </w:pPr>
      <w:r w:rsidRPr="005C234C">
        <w:rPr>
          <w:rStyle w:val="FootnoteReference"/>
          <w:rFonts w:ascii="Times New Roman" w:hAnsi="Times New Roman" w:cs="Times New Roman"/>
          <w:sz w:val="18"/>
          <w:szCs w:val="18"/>
        </w:rPr>
        <w:footnoteRef/>
      </w:r>
      <w:r w:rsidRPr="005C234C">
        <w:rPr>
          <w:rFonts w:ascii="Times New Roman" w:hAnsi="Times New Roman" w:cs="Times New Roman"/>
          <w:sz w:val="18"/>
          <w:szCs w:val="18"/>
        </w:rPr>
        <w:t xml:space="preserve"> Constitution of the Republic of Kosovo, Article 59, Rights of Communities and their members.</w:t>
      </w:r>
    </w:p>
  </w:footnote>
  <w:footnote w:id="5">
    <w:p w:rsidR="004A2E9B" w:rsidRPr="005C234C" w:rsidRDefault="004A2E9B">
      <w:pPr>
        <w:pStyle w:val="FootnoteText"/>
        <w:rPr>
          <w:rFonts w:ascii="Times New Roman" w:hAnsi="Times New Roman" w:cs="Times New Roman"/>
          <w:sz w:val="18"/>
          <w:szCs w:val="18"/>
        </w:rPr>
      </w:pPr>
      <w:r w:rsidRPr="005C234C">
        <w:rPr>
          <w:rStyle w:val="FootnoteReference"/>
          <w:rFonts w:ascii="Times New Roman" w:hAnsi="Times New Roman" w:cs="Times New Roman"/>
          <w:sz w:val="18"/>
          <w:szCs w:val="18"/>
        </w:rPr>
        <w:footnoteRef/>
      </w:r>
      <w:r w:rsidR="00833C4F" w:rsidRPr="005C234C">
        <w:rPr>
          <w:rFonts w:ascii="Times New Roman" w:hAnsi="Times New Roman" w:cs="Times New Roman"/>
          <w:sz w:val="18"/>
          <w:szCs w:val="18"/>
        </w:rPr>
        <w:t xml:space="preserve"> Elazar, Daniel (1995).</w:t>
      </w:r>
      <w:r w:rsidRPr="005C234C">
        <w:rPr>
          <w:rFonts w:ascii="Times New Roman" w:hAnsi="Times New Roman" w:cs="Times New Roman"/>
          <w:sz w:val="18"/>
          <w:szCs w:val="18"/>
        </w:rPr>
        <w:t xml:space="preserve"> “From Statism to Federalism: A Parad</w:t>
      </w:r>
      <w:r w:rsidR="00833C4F" w:rsidRPr="005C234C">
        <w:rPr>
          <w:rFonts w:ascii="Times New Roman" w:hAnsi="Times New Roman" w:cs="Times New Roman"/>
          <w:sz w:val="18"/>
          <w:szCs w:val="18"/>
        </w:rPr>
        <w:t>igm Shift” Publius 25 (2).</w:t>
      </w:r>
      <w:r w:rsidRPr="005C234C">
        <w:rPr>
          <w:rFonts w:ascii="Times New Roman" w:hAnsi="Times New Roman" w:cs="Times New Roman"/>
          <w:sz w:val="18"/>
          <w:szCs w:val="18"/>
        </w:rPr>
        <w:t xml:space="preserve"> pp. 5.</w:t>
      </w:r>
    </w:p>
  </w:footnote>
  <w:footnote w:id="6">
    <w:p w:rsidR="001B7636" w:rsidRPr="00200707" w:rsidRDefault="001B7636">
      <w:pPr>
        <w:pStyle w:val="FootnoteText"/>
        <w:rPr>
          <w:rFonts w:ascii="Times New Roman" w:hAnsi="Times New Roman" w:cs="Times New Roman"/>
          <w:sz w:val="18"/>
          <w:szCs w:val="18"/>
        </w:rPr>
      </w:pPr>
      <w:r w:rsidRPr="005C234C">
        <w:rPr>
          <w:rStyle w:val="FootnoteReference"/>
          <w:rFonts w:ascii="Times New Roman" w:hAnsi="Times New Roman" w:cs="Times New Roman"/>
          <w:sz w:val="18"/>
          <w:szCs w:val="18"/>
        </w:rPr>
        <w:footnoteRef/>
      </w:r>
      <w:r w:rsidR="00833C4F" w:rsidRPr="005C234C">
        <w:rPr>
          <w:rFonts w:ascii="Times New Roman" w:hAnsi="Times New Roman" w:cs="Times New Roman"/>
          <w:sz w:val="18"/>
          <w:szCs w:val="18"/>
        </w:rPr>
        <w:t xml:space="preserve"> Kleibrink Alexander (2008). </w:t>
      </w:r>
      <w:r w:rsidRPr="005C234C">
        <w:rPr>
          <w:rFonts w:ascii="Times New Roman" w:hAnsi="Times New Roman" w:cs="Times New Roman"/>
          <w:sz w:val="18"/>
          <w:szCs w:val="18"/>
        </w:rPr>
        <w:t>“Federalism in the Balkans: Doomed to fail?”</w:t>
      </w:r>
      <w:r w:rsidR="004A2E9B" w:rsidRPr="005C234C">
        <w:rPr>
          <w:rFonts w:ascii="Times New Roman" w:hAnsi="Times New Roman" w:cs="Times New Roman"/>
          <w:sz w:val="18"/>
          <w:szCs w:val="18"/>
        </w:rPr>
        <w:t xml:space="preserve"> </w:t>
      </w:r>
      <w:r w:rsidRPr="005C234C">
        <w:rPr>
          <w:rFonts w:ascii="Times New Roman" w:hAnsi="Times New Roman" w:cs="Times New Roman"/>
          <w:i/>
          <w:sz w:val="18"/>
          <w:szCs w:val="18"/>
        </w:rPr>
        <w:t>L'Europe en Formation</w:t>
      </w:r>
      <w:r w:rsidR="00833C4F" w:rsidRPr="005C234C">
        <w:rPr>
          <w:rFonts w:ascii="Times New Roman" w:hAnsi="Times New Roman" w:cs="Times New Roman"/>
          <w:sz w:val="18"/>
          <w:szCs w:val="18"/>
        </w:rPr>
        <w:t>, No. 3</w:t>
      </w:r>
      <w:r w:rsidRPr="005C234C">
        <w:rPr>
          <w:rFonts w:ascii="Times New Roman" w:hAnsi="Times New Roman" w:cs="Times New Roman"/>
          <w:sz w:val="18"/>
          <w:szCs w:val="18"/>
        </w:rPr>
        <w:t>, p</w:t>
      </w:r>
      <w:r w:rsidR="00833C4F" w:rsidRPr="005C234C">
        <w:rPr>
          <w:rFonts w:ascii="Times New Roman" w:hAnsi="Times New Roman" w:cs="Times New Roman"/>
          <w:sz w:val="18"/>
          <w:szCs w:val="18"/>
        </w:rPr>
        <w:t>p</w:t>
      </w:r>
      <w:r w:rsidRPr="005C234C">
        <w:rPr>
          <w:rFonts w:ascii="Times New Roman" w:hAnsi="Times New Roman" w:cs="Times New Roman"/>
          <w:sz w:val="18"/>
          <w:szCs w:val="18"/>
        </w:rPr>
        <w:t>. 71-79</w:t>
      </w:r>
      <w:r w:rsidRPr="00200707">
        <w:rPr>
          <w:rFonts w:ascii="Times New Roman" w:hAnsi="Times New Roman" w:cs="Times New Roman"/>
          <w:sz w:val="18"/>
          <w:szCs w:val="18"/>
        </w:rPr>
        <w:t xml:space="preserve">. </w:t>
      </w:r>
    </w:p>
  </w:footnote>
  <w:footnote w:id="7">
    <w:p w:rsidR="00BD6DE0" w:rsidRPr="00BD6DE0" w:rsidRDefault="00BD6DE0">
      <w:pPr>
        <w:pStyle w:val="FootnoteText"/>
      </w:pPr>
      <w:r w:rsidRPr="00200707">
        <w:rPr>
          <w:rStyle w:val="FootnoteReference"/>
          <w:rFonts w:ascii="Times New Roman" w:hAnsi="Times New Roman" w:cs="Times New Roman"/>
          <w:sz w:val="18"/>
          <w:szCs w:val="18"/>
        </w:rPr>
        <w:footnoteRef/>
      </w:r>
      <w:r w:rsidRPr="00200707">
        <w:rPr>
          <w:rFonts w:ascii="Times New Roman" w:hAnsi="Times New Roman" w:cs="Times New Roman"/>
          <w:sz w:val="18"/>
          <w:szCs w:val="18"/>
        </w:rPr>
        <w:t xml:space="preserve"> </w:t>
      </w:r>
      <w:r w:rsidR="00833C4F">
        <w:rPr>
          <w:rFonts w:ascii="Times New Roman" w:hAnsi="Times New Roman" w:cs="Times New Roman"/>
          <w:sz w:val="18"/>
          <w:szCs w:val="18"/>
        </w:rPr>
        <w:t>Aroney, Nicholas (2007).</w:t>
      </w:r>
      <w:r w:rsidRPr="00200707">
        <w:rPr>
          <w:rFonts w:ascii="Times New Roman" w:hAnsi="Times New Roman" w:cs="Times New Roman"/>
          <w:sz w:val="18"/>
          <w:szCs w:val="18"/>
        </w:rPr>
        <w:t xml:space="preserve"> “Subsidiarity, Federalism and the Best Constitution: Thomas Aquinas on City, Province and Empire.” </w:t>
      </w:r>
      <w:r w:rsidRPr="00200707">
        <w:rPr>
          <w:rFonts w:ascii="Times New Roman" w:hAnsi="Times New Roman" w:cs="Times New Roman"/>
          <w:i/>
          <w:sz w:val="18"/>
          <w:szCs w:val="18"/>
        </w:rPr>
        <w:t>Law and Philosophy</w:t>
      </w:r>
      <w:r w:rsidR="00833C4F">
        <w:rPr>
          <w:rFonts w:ascii="Times New Roman" w:hAnsi="Times New Roman" w:cs="Times New Roman"/>
          <w:sz w:val="18"/>
          <w:szCs w:val="18"/>
        </w:rPr>
        <w:t>, Vol. 26, pp. 161-228</w:t>
      </w:r>
      <w:r w:rsidRPr="00200707">
        <w:rPr>
          <w:rFonts w:ascii="Times New Roman" w:hAnsi="Times New Roman" w:cs="Times New Roman"/>
          <w:sz w:val="18"/>
          <w:szCs w:val="18"/>
        </w:rPr>
        <w:t>; Univ</w:t>
      </w:r>
      <w:r w:rsidR="00200707">
        <w:rPr>
          <w:rFonts w:ascii="Times New Roman" w:hAnsi="Times New Roman" w:cs="Times New Roman"/>
          <w:sz w:val="18"/>
          <w:szCs w:val="18"/>
        </w:rPr>
        <w:t xml:space="preserve">ersity of Queensland. </w:t>
      </w:r>
      <w:r w:rsidRPr="00200707">
        <w:rPr>
          <w:rFonts w:ascii="Times New Roman" w:hAnsi="Times New Roman" w:cs="Times New Roman"/>
          <w:sz w:val="18"/>
          <w:szCs w:val="18"/>
        </w:rPr>
        <w:t>No. 07-06. p</w:t>
      </w:r>
      <w:r w:rsidR="00833C4F">
        <w:rPr>
          <w:rFonts w:ascii="Times New Roman" w:hAnsi="Times New Roman" w:cs="Times New Roman"/>
          <w:sz w:val="18"/>
          <w:szCs w:val="18"/>
        </w:rPr>
        <w:t>p</w:t>
      </w:r>
      <w:r w:rsidRPr="00200707">
        <w:rPr>
          <w:rFonts w:ascii="Times New Roman" w:hAnsi="Times New Roman" w:cs="Times New Roman"/>
          <w:sz w:val="18"/>
          <w:szCs w:val="18"/>
        </w:rPr>
        <w:t>. 179.</w:t>
      </w:r>
    </w:p>
  </w:footnote>
  <w:footnote w:id="8">
    <w:p w:rsidR="00833C4F" w:rsidRPr="00983119" w:rsidRDefault="00833C4F" w:rsidP="00983119">
      <w:pPr>
        <w:pStyle w:val="FootnoteText"/>
        <w:rPr>
          <w:rFonts w:ascii="Times New Roman" w:hAnsi="Times New Roman" w:cs="Times New Roman"/>
          <w:sz w:val="18"/>
          <w:szCs w:val="18"/>
        </w:rPr>
      </w:pPr>
      <w:r w:rsidRPr="00833C4F">
        <w:rPr>
          <w:rStyle w:val="FootnoteReference"/>
          <w:rFonts w:ascii="Times New Roman" w:hAnsi="Times New Roman" w:cs="Times New Roman"/>
          <w:sz w:val="18"/>
          <w:szCs w:val="18"/>
        </w:rPr>
        <w:footnoteRef/>
      </w:r>
      <w:r w:rsidRPr="00833C4F">
        <w:rPr>
          <w:rFonts w:ascii="Times New Roman" w:hAnsi="Times New Roman" w:cs="Times New Roman"/>
          <w:sz w:val="18"/>
          <w:szCs w:val="18"/>
        </w:rPr>
        <w:t xml:space="preserve"> </w:t>
      </w:r>
      <w:r w:rsidRPr="00983119">
        <w:rPr>
          <w:rFonts w:ascii="Times New Roman" w:hAnsi="Times New Roman" w:cs="Times New Roman"/>
          <w:color w:val="000000"/>
          <w:sz w:val="18"/>
          <w:szCs w:val="18"/>
          <w:shd w:val="clear" w:color="auto" w:fill="FFFFFF"/>
        </w:rPr>
        <w:t>Aharon Barak. (2012). Proportionality stricto sensu (balancing). In:</w:t>
      </w:r>
      <w:r w:rsidRPr="00983119">
        <w:rPr>
          <w:rStyle w:val="apple-converted-space"/>
          <w:rFonts w:ascii="Times New Roman" w:hAnsi="Times New Roman" w:cs="Times New Roman"/>
          <w:color w:val="000000"/>
          <w:sz w:val="18"/>
          <w:szCs w:val="18"/>
          <w:shd w:val="clear" w:color="auto" w:fill="FFFFFF"/>
        </w:rPr>
        <w:t> </w:t>
      </w:r>
      <w:r w:rsidRPr="00983119">
        <w:rPr>
          <w:rStyle w:val="Emphasis"/>
          <w:rFonts w:ascii="Times New Roman" w:hAnsi="Times New Roman" w:cs="Times New Roman"/>
          <w:color w:val="000000"/>
          <w:sz w:val="18"/>
          <w:szCs w:val="18"/>
          <w:shd w:val="clear" w:color="auto" w:fill="FFFFFF"/>
        </w:rPr>
        <w:t>Proportionality</w:t>
      </w:r>
      <w:r w:rsidRPr="00983119">
        <w:rPr>
          <w:rFonts w:ascii="Times New Roman" w:hAnsi="Times New Roman" w:cs="Times New Roman"/>
          <w:color w:val="000000"/>
          <w:sz w:val="18"/>
          <w:szCs w:val="18"/>
          <w:shd w:val="clear" w:color="auto" w:fill="FFFFFF"/>
        </w:rPr>
        <w:t>. Cambridge: Cambridge University Press.</w:t>
      </w:r>
      <w:r w:rsidRPr="00983119">
        <w:rPr>
          <w:rStyle w:val="apple-converted-space"/>
          <w:rFonts w:ascii="Times New Roman" w:hAnsi="Times New Roman" w:cs="Times New Roman"/>
          <w:color w:val="000000"/>
          <w:sz w:val="18"/>
          <w:szCs w:val="18"/>
          <w:shd w:val="clear" w:color="auto" w:fill="FFFFFF"/>
        </w:rPr>
        <w:t> </w:t>
      </w:r>
      <w:r w:rsidRPr="00983119">
        <w:rPr>
          <w:rFonts w:ascii="Times New Roman" w:hAnsi="Times New Roman" w:cs="Times New Roman"/>
          <w:color w:val="000000"/>
          <w:sz w:val="18"/>
          <w:szCs w:val="18"/>
          <w:shd w:val="clear" w:color="auto" w:fill="FFFFFF"/>
        </w:rPr>
        <w:t>pp. 340-370.</w:t>
      </w:r>
    </w:p>
  </w:footnote>
  <w:footnote w:id="9">
    <w:p w:rsidR="00983119" w:rsidRPr="00983119" w:rsidRDefault="00983119" w:rsidP="00983119">
      <w:pPr>
        <w:spacing w:after="0" w:line="240" w:lineRule="auto"/>
        <w:rPr>
          <w:rFonts w:ascii="Times New Roman" w:eastAsia="Times New Roman" w:hAnsi="Times New Roman" w:cs="Times New Roman"/>
          <w:color w:val="000000"/>
          <w:sz w:val="18"/>
          <w:szCs w:val="18"/>
        </w:rPr>
      </w:pPr>
      <w:r w:rsidRPr="00983119">
        <w:rPr>
          <w:rStyle w:val="FootnoteReference"/>
          <w:rFonts w:ascii="Times New Roman" w:hAnsi="Times New Roman" w:cs="Times New Roman"/>
          <w:sz w:val="18"/>
          <w:szCs w:val="18"/>
        </w:rPr>
        <w:footnoteRef/>
      </w:r>
      <w:r w:rsidR="005C234C">
        <w:rPr>
          <w:rFonts w:ascii="Times New Roman" w:hAnsi="Times New Roman" w:cs="Times New Roman"/>
          <w:sz w:val="18"/>
          <w:szCs w:val="18"/>
        </w:rPr>
        <w:t xml:space="preserve"> </w:t>
      </w:r>
      <w:r w:rsidRPr="00983119">
        <w:rPr>
          <w:rFonts w:ascii="Times New Roman" w:hAnsi="Times New Roman" w:cs="Times New Roman"/>
          <w:sz w:val="18"/>
          <w:szCs w:val="18"/>
        </w:rPr>
        <w:t xml:space="preserve">Blokker, Paul. </w:t>
      </w:r>
      <w:r>
        <w:rPr>
          <w:rFonts w:ascii="Times New Roman" w:hAnsi="Times New Roman" w:cs="Times New Roman"/>
          <w:sz w:val="18"/>
          <w:szCs w:val="18"/>
        </w:rPr>
        <w:t xml:space="preserve">(2015). </w:t>
      </w:r>
      <w:r w:rsidRPr="00983119">
        <w:rPr>
          <w:rFonts w:ascii="Times New Roman" w:hAnsi="Times New Roman" w:cs="Times New Roman"/>
          <w:i/>
          <w:sz w:val="18"/>
          <w:szCs w:val="18"/>
        </w:rPr>
        <w:t>Constitutional Reform in Europe and Recourse to the People</w:t>
      </w:r>
      <w:r>
        <w:rPr>
          <w:rFonts w:ascii="Times New Roman" w:hAnsi="Times New Roman" w:cs="Times New Roman"/>
          <w:sz w:val="18"/>
          <w:szCs w:val="18"/>
        </w:rPr>
        <w:t xml:space="preserve"> in </w:t>
      </w:r>
      <w:r w:rsidRPr="00983119">
        <w:rPr>
          <w:rFonts w:ascii="Times New Roman" w:eastAsia="Times New Roman" w:hAnsi="Times New Roman" w:cs="Times New Roman"/>
          <w:color w:val="000000"/>
          <w:sz w:val="18"/>
          <w:szCs w:val="18"/>
          <w:bdr w:val="none" w:sz="0" w:space="0" w:color="auto" w:frame="1"/>
        </w:rPr>
        <w:t>J. Gerkrath, &amp; X. Contiades (eds.),</w:t>
      </w:r>
      <w:r w:rsidRPr="00983119">
        <w:rPr>
          <w:rFonts w:ascii="Times New Roman" w:eastAsia="Times New Roman" w:hAnsi="Times New Roman" w:cs="Times New Roman"/>
          <w:i/>
          <w:iCs/>
          <w:color w:val="000000"/>
          <w:sz w:val="18"/>
          <w:szCs w:val="18"/>
          <w:bdr w:val="none" w:sz="0" w:space="0" w:color="auto" w:frame="1"/>
        </w:rPr>
        <w:t> Participatory Constitutional Change:</w:t>
      </w:r>
      <w:r>
        <w:rPr>
          <w:rFonts w:ascii="Times New Roman" w:eastAsia="Times New Roman" w:hAnsi="Times New Roman" w:cs="Times New Roman"/>
          <w:i/>
          <w:iCs/>
          <w:color w:val="000000"/>
          <w:sz w:val="18"/>
          <w:szCs w:val="18"/>
          <w:bdr w:val="none" w:sz="0" w:space="0" w:color="auto" w:frame="1"/>
        </w:rPr>
        <w:t xml:space="preserve"> </w:t>
      </w:r>
      <w:r w:rsidRPr="00983119">
        <w:rPr>
          <w:rFonts w:ascii="Times New Roman" w:eastAsia="Times New Roman" w:hAnsi="Times New Roman" w:cs="Times New Roman"/>
          <w:i/>
          <w:iCs/>
          <w:color w:val="000000"/>
          <w:sz w:val="18"/>
          <w:szCs w:val="18"/>
          <w:bdr w:val="none" w:sz="0" w:space="0" w:color="auto" w:frame="1"/>
        </w:rPr>
        <w:t>The people as amenders of the Constitution</w:t>
      </w:r>
      <w:r>
        <w:rPr>
          <w:rFonts w:ascii="Times New Roman" w:eastAsia="Times New Roman" w:hAnsi="Times New Roman" w:cs="Times New Roman"/>
          <w:color w:val="000000"/>
          <w:sz w:val="18"/>
          <w:szCs w:val="18"/>
          <w:bdr w:val="none" w:sz="0" w:space="0" w:color="auto" w:frame="1"/>
        </w:rPr>
        <w:t>, Ashgate Publishing Ltd p. 18.</w:t>
      </w:r>
    </w:p>
  </w:footnote>
  <w:footnote w:id="10">
    <w:p w:rsidR="004755D9" w:rsidRPr="004755D9" w:rsidRDefault="004755D9">
      <w:pPr>
        <w:pStyle w:val="FootnoteText"/>
        <w:rPr>
          <w:rFonts w:ascii="Times New Roman" w:hAnsi="Times New Roman" w:cs="Times New Roman"/>
          <w:sz w:val="18"/>
          <w:szCs w:val="18"/>
        </w:rPr>
      </w:pPr>
      <w:r w:rsidRPr="00983119">
        <w:rPr>
          <w:rStyle w:val="FootnoteReference"/>
          <w:rFonts w:ascii="Times New Roman" w:hAnsi="Times New Roman" w:cs="Times New Roman"/>
          <w:sz w:val="18"/>
          <w:szCs w:val="18"/>
        </w:rPr>
        <w:footnoteRef/>
      </w:r>
      <w:r w:rsidRPr="00983119">
        <w:rPr>
          <w:rFonts w:ascii="Times New Roman" w:hAnsi="Times New Roman" w:cs="Times New Roman"/>
          <w:sz w:val="18"/>
          <w:szCs w:val="18"/>
        </w:rPr>
        <w:t xml:space="preserve"> Sadurski, W. “Conclusions: On the Relevance of Institutions and the Centrality of Constitutions in Post-Communist Transitions,” in Jan Zielonka. ed., </w:t>
      </w:r>
      <w:r w:rsidRPr="00983119">
        <w:rPr>
          <w:rFonts w:ascii="Times New Roman" w:hAnsi="Times New Roman" w:cs="Times New Roman"/>
          <w:i/>
          <w:sz w:val="18"/>
          <w:szCs w:val="18"/>
        </w:rPr>
        <w:t>Democratic Consolidation in Eastern Europe, Vol. 1 Institutional Engineering.</w:t>
      </w:r>
      <w:r w:rsidRPr="00983119">
        <w:rPr>
          <w:rFonts w:ascii="Times New Roman" w:hAnsi="Times New Roman" w:cs="Times New Roman"/>
          <w:sz w:val="18"/>
          <w:szCs w:val="18"/>
        </w:rPr>
        <w:t xml:space="preserve"> Oxford University Press. 2001. p. 473</w:t>
      </w:r>
      <w:r w:rsidR="00983119" w:rsidRPr="00983119">
        <w:rPr>
          <w:rFonts w:ascii="Times New Roman" w:hAnsi="Times New Roman" w:cs="Times New Roman"/>
          <w:sz w:val="18"/>
          <w:szCs w:val="1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E679D"/>
    <w:rsid w:val="000204C9"/>
    <w:rsid w:val="00062B49"/>
    <w:rsid w:val="00090737"/>
    <w:rsid w:val="000977C6"/>
    <w:rsid w:val="000A036E"/>
    <w:rsid w:val="000D4830"/>
    <w:rsid w:val="000E689F"/>
    <w:rsid w:val="0012182F"/>
    <w:rsid w:val="0013434B"/>
    <w:rsid w:val="001663D7"/>
    <w:rsid w:val="001B7636"/>
    <w:rsid w:val="001F0F15"/>
    <w:rsid w:val="00200707"/>
    <w:rsid w:val="00256387"/>
    <w:rsid w:val="002844D2"/>
    <w:rsid w:val="002F1593"/>
    <w:rsid w:val="00350532"/>
    <w:rsid w:val="00392FE7"/>
    <w:rsid w:val="003C3F0E"/>
    <w:rsid w:val="003F01FB"/>
    <w:rsid w:val="0046276F"/>
    <w:rsid w:val="004755D9"/>
    <w:rsid w:val="00481E6C"/>
    <w:rsid w:val="00485EF5"/>
    <w:rsid w:val="004A2E9B"/>
    <w:rsid w:val="00564C53"/>
    <w:rsid w:val="005C234C"/>
    <w:rsid w:val="005F0084"/>
    <w:rsid w:val="00694BF6"/>
    <w:rsid w:val="007C7336"/>
    <w:rsid w:val="00833C4F"/>
    <w:rsid w:val="00890195"/>
    <w:rsid w:val="008B2AF5"/>
    <w:rsid w:val="00942DFB"/>
    <w:rsid w:val="0097440B"/>
    <w:rsid w:val="00983119"/>
    <w:rsid w:val="009C797B"/>
    <w:rsid w:val="00A857E6"/>
    <w:rsid w:val="00AE679D"/>
    <w:rsid w:val="00AF7029"/>
    <w:rsid w:val="00B57E24"/>
    <w:rsid w:val="00B601DE"/>
    <w:rsid w:val="00BA13BD"/>
    <w:rsid w:val="00BC7480"/>
    <w:rsid w:val="00BD6DE0"/>
    <w:rsid w:val="00C30297"/>
    <w:rsid w:val="00D43573"/>
    <w:rsid w:val="00D547AF"/>
    <w:rsid w:val="00E81770"/>
    <w:rsid w:val="00E8421E"/>
    <w:rsid w:val="00FB3E09"/>
    <w:rsid w:val="00FD7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7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79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797B"/>
    <w:rPr>
      <w:sz w:val="20"/>
      <w:szCs w:val="20"/>
    </w:rPr>
  </w:style>
  <w:style w:type="character" w:styleId="FootnoteReference">
    <w:name w:val="footnote reference"/>
    <w:basedOn w:val="DefaultParagraphFont"/>
    <w:uiPriority w:val="99"/>
    <w:semiHidden/>
    <w:unhideWhenUsed/>
    <w:rsid w:val="009C797B"/>
    <w:rPr>
      <w:vertAlign w:val="superscript"/>
    </w:rPr>
  </w:style>
  <w:style w:type="character" w:customStyle="1" w:styleId="apple-converted-space">
    <w:name w:val="apple-converted-space"/>
    <w:basedOn w:val="DefaultParagraphFont"/>
    <w:rsid w:val="00A857E6"/>
  </w:style>
  <w:style w:type="character" w:styleId="Emphasis">
    <w:name w:val="Emphasis"/>
    <w:basedOn w:val="DefaultParagraphFont"/>
    <w:uiPriority w:val="20"/>
    <w:qFormat/>
    <w:rsid w:val="00833C4F"/>
    <w:rPr>
      <w:i/>
      <w:iCs/>
    </w:rPr>
  </w:style>
  <w:style w:type="character" w:customStyle="1" w:styleId="a">
    <w:name w:val="a"/>
    <w:basedOn w:val="DefaultParagraphFont"/>
    <w:rsid w:val="00983119"/>
  </w:style>
</w:styles>
</file>

<file path=word/webSettings.xml><?xml version="1.0" encoding="utf-8"?>
<w:webSettings xmlns:r="http://schemas.openxmlformats.org/officeDocument/2006/relationships" xmlns:w="http://schemas.openxmlformats.org/wordprocessingml/2006/main">
  <w:divs>
    <w:div w:id="1384937850">
      <w:bodyDiv w:val="1"/>
      <w:marLeft w:val="0"/>
      <w:marRight w:val="0"/>
      <w:marTop w:val="0"/>
      <w:marBottom w:val="0"/>
      <w:divBdr>
        <w:top w:val="none" w:sz="0" w:space="0" w:color="auto"/>
        <w:left w:val="none" w:sz="0" w:space="0" w:color="auto"/>
        <w:bottom w:val="none" w:sz="0" w:space="0" w:color="auto"/>
        <w:right w:val="none" w:sz="0" w:space="0" w:color="auto"/>
      </w:divBdr>
      <w:divsChild>
        <w:div w:id="737023450">
          <w:marLeft w:val="0"/>
          <w:marRight w:val="0"/>
          <w:marTop w:val="0"/>
          <w:marBottom w:val="0"/>
          <w:divBdr>
            <w:top w:val="none" w:sz="0" w:space="0" w:color="auto"/>
            <w:left w:val="none" w:sz="0" w:space="0" w:color="auto"/>
            <w:bottom w:val="none" w:sz="0" w:space="0" w:color="auto"/>
            <w:right w:val="none" w:sz="0" w:space="0" w:color="auto"/>
          </w:divBdr>
        </w:div>
        <w:div w:id="1619920246">
          <w:marLeft w:val="0"/>
          <w:marRight w:val="0"/>
          <w:marTop w:val="0"/>
          <w:marBottom w:val="0"/>
          <w:divBdr>
            <w:top w:val="none" w:sz="0" w:space="0" w:color="auto"/>
            <w:left w:val="none" w:sz="0" w:space="0" w:color="auto"/>
            <w:bottom w:val="none" w:sz="0" w:space="0" w:color="auto"/>
            <w:right w:val="none" w:sz="0" w:space="0" w:color="auto"/>
          </w:divBdr>
        </w:div>
        <w:div w:id="2107581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E78A4-B697-4A21-B387-C040DA40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Cipperly, John</dc:creator>
  <cp:lastModifiedBy>DSERWER</cp:lastModifiedBy>
  <cp:revision>2</cp:revision>
  <dcterms:created xsi:type="dcterms:W3CDTF">2015-12-05T09:13:00Z</dcterms:created>
  <dcterms:modified xsi:type="dcterms:W3CDTF">2015-12-05T09:13:00Z</dcterms:modified>
</cp:coreProperties>
</file>